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E900" w14:textId="2FD59631" w:rsidR="00226D31" w:rsidRPr="00335DB7" w:rsidRDefault="00226D31" w:rsidP="00226D31">
      <w:pPr>
        <w:jc w:val="center"/>
        <w:rPr>
          <w:b/>
          <w:sz w:val="28"/>
          <w:szCs w:val="28"/>
          <w:lang w:val="id-ID"/>
        </w:rPr>
      </w:pPr>
      <w:r w:rsidRPr="00335DB7">
        <w:rPr>
          <w:b/>
          <w:sz w:val="28"/>
          <w:szCs w:val="28"/>
          <w:lang w:val="id-ID"/>
        </w:rPr>
        <w:t xml:space="preserve">Pengaruh </w:t>
      </w:r>
      <w:r w:rsidRPr="002F3370">
        <w:rPr>
          <w:b/>
          <w:i/>
          <w:sz w:val="28"/>
          <w:szCs w:val="28"/>
          <w:lang w:val="id-ID"/>
        </w:rPr>
        <w:t xml:space="preserve">Return </w:t>
      </w:r>
      <w:r w:rsidR="00B837FA">
        <w:rPr>
          <w:b/>
          <w:i/>
          <w:sz w:val="28"/>
          <w:szCs w:val="28"/>
        </w:rPr>
        <w:t>o</w:t>
      </w:r>
      <w:r w:rsidRPr="002F3370">
        <w:rPr>
          <w:b/>
          <w:i/>
          <w:sz w:val="28"/>
          <w:szCs w:val="28"/>
          <w:lang w:val="id-ID"/>
        </w:rPr>
        <w:t>n Assetss</w:t>
      </w:r>
      <w:r w:rsidRPr="00335DB7">
        <w:rPr>
          <w:b/>
          <w:i/>
          <w:sz w:val="28"/>
          <w:szCs w:val="28"/>
          <w:lang w:val="id-ID"/>
        </w:rPr>
        <w:t xml:space="preserve"> </w:t>
      </w:r>
      <w:r w:rsidRPr="00335DB7">
        <w:rPr>
          <w:b/>
          <w:sz w:val="28"/>
          <w:szCs w:val="28"/>
          <w:lang w:val="id-ID"/>
        </w:rPr>
        <w:t xml:space="preserve">(ROA) </w:t>
      </w:r>
      <w:r w:rsidR="00B837FA">
        <w:rPr>
          <w:b/>
          <w:sz w:val="28"/>
          <w:szCs w:val="28"/>
        </w:rPr>
        <w:t>da</w:t>
      </w:r>
      <w:r w:rsidRPr="00335DB7">
        <w:rPr>
          <w:b/>
          <w:sz w:val="28"/>
          <w:szCs w:val="28"/>
          <w:lang w:val="id-ID"/>
        </w:rPr>
        <w:t xml:space="preserve">n </w:t>
      </w:r>
      <w:r w:rsidRPr="002F3370">
        <w:rPr>
          <w:b/>
          <w:i/>
          <w:sz w:val="28"/>
          <w:szCs w:val="28"/>
          <w:lang w:val="id-ID"/>
        </w:rPr>
        <w:t xml:space="preserve">Return </w:t>
      </w:r>
      <w:r w:rsidR="00B837FA">
        <w:rPr>
          <w:b/>
          <w:i/>
          <w:sz w:val="28"/>
          <w:szCs w:val="28"/>
        </w:rPr>
        <w:t>o</w:t>
      </w:r>
      <w:r w:rsidRPr="002F3370">
        <w:rPr>
          <w:b/>
          <w:i/>
          <w:sz w:val="28"/>
          <w:szCs w:val="28"/>
          <w:lang w:val="id-ID"/>
        </w:rPr>
        <w:t>n Equity</w:t>
      </w:r>
      <w:r w:rsidRPr="00335DB7">
        <w:rPr>
          <w:b/>
          <w:sz w:val="28"/>
          <w:szCs w:val="28"/>
          <w:lang w:val="id-ID"/>
        </w:rPr>
        <w:t xml:space="preserve"> (ROE) Terhadap Harga Saham </w:t>
      </w:r>
      <w:r w:rsidR="00B837FA">
        <w:rPr>
          <w:b/>
          <w:sz w:val="28"/>
          <w:szCs w:val="28"/>
        </w:rPr>
        <w:t>p</w:t>
      </w:r>
      <w:r w:rsidRPr="00335DB7">
        <w:rPr>
          <w:b/>
          <w:sz w:val="28"/>
          <w:szCs w:val="28"/>
          <w:lang w:val="id-ID"/>
        </w:rPr>
        <w:t xml:space="preserve">ada Perusahaan Perbankan </w:t>
      </w:r>
      <w:r w:rsidR="00B837FA">
        <w:rPr>
          <w:b/>
          <w:sz w:val="28"/>
          <w:szCs w:val="28"/>
        </w:rPr>
        <w:t>y</w:t>
      </w:r>
      <w:r w:rsidRPr="00335DB7">
        <w:rPr>
          <w:b/>
          <w:sz w:val="28"/>
          <w:szCs w:val="28"/>
          <w:lang w:val="id-ID"/>
        </w:rPr>
        <w:t xml:space="preserve">ang Terdaftar </w:t>
      </w:r>
    </w:p>
    <w:p w14:paraId="0D5D4BD1" w14:textId="195FF62F" w:rsidR="00226D31" w:rsidRPr="00335DB7" w:rsidRDefault="00B837FA" w:rsidP="00226D31">
      <w:pPr>
        <w:jc w:val="center"/>
        <w:rPr>
          <w:b/>
          <w:sz w:val="28"/>
          <w:szCs w:val="28"/>
          <w:lang w:val="id-ID"/>
        </w:rPr>
      </w:pPr>
      <w:r>
        <w:rPr>
          <w:b/>
          <w:sz w:val="28"/>
          <w:szCs w:val="28"/>
        </w:rPr>
        <w:t>d</w:t>
      </w:r>
      <w:r w:rsidR="00226D31" w:rsidRPr="00335DB7">
        <w:rPr>
          <w:b/>
          <w:sz w:val="28"/>
          <w:szCs w:val="28"/>
          <w:lang w:val="id-ID"/>
        </w:rPr>
        <w:t xml:space="preserve">i Bursa Efek Indonesia </w:t>
      </w:r>
      <w:r w:rsidR="00226D31">
        <w:rPr>
          <w:b/>
          <w:sz w:val="28"/>
          <w:szCs w:val="28"/>
          <w:lang w:val="id-ID"/>
        </w:rPr>
        <w:t>Periode</w:t>
      </w:r>
      <w:r w:rsidR="00226D31" w:rsidRPr="00335DB7">
        <w:rPr>
          <w:b/>
          <w:sz w:val="28"/>
          <w:szCs w:val="28"/>
          <w:lang w:val="id-ID"/>
        </w:rPr>
        <w:t xml:space="preserve"> 2019-2022</w:t>
      </w:r>
    </w:p>
    <w:p w14:paraId="4F3247D9" w14:textId="77777777" w:rsidR="00226D31" w:rsidRPr="00391DE9" w:rsidRDefault="00226D31" w:rsidP="00226D31">
      <w:pPr>
        <w:keepNext/>
        <w:suppressAutoHyphens/>
        <w:jc w:val="center"/>
        <w:outlineLvl w:val="0"/>
        <w:rPr>
          <w:b/>
          <w:sz w:val="28"/>
          <w:szCs w:val="28"/>
        </w:rPr>
      </w:pPr>
    </w:p>
    <w:p w14:paraId="7D4C53B6" w14:textId="77777777" w:rsidR="00226D31" w:rsidRPr="00AA362D" w:rsidRDefault="00226D31" w:rsidP="00226D31">
      <w:pPr>
        <w:widowControl w:val="0"/>
        <w:autoSpaceDE w:val="0"/>
        <w:jc w:val="center"/>
        <w:rPr>
          <w:b/>
          <w:bCs/>
          <w:szCs w:val="32"/>
          <w:lang w:val="fi-FI"/>
        </w:rPr>
      </w:pPr>
      <w:r w:rsidRPr="00AA362D">
        <w:rPr>
          <w:b/>
          <w:bCs/>
          <w:szCs w:val="32"/>
          <w:lang w:val="fi-FI"/>
        </w:rPr>
        <w:t>Syamsul Bahri</w:t>
      </w:r>
      <w:r w:rsidRPr="00AA362D">
        <w:rPr>
          <w:b/>
          <w:bCs/>
          <w:szCs w:val="32"/>
          <w:vertAlign w:val="superscript"/>
          <w:lang w:val="fi-FI"/>
        </w:rPr>
        <w:t>1</w:t>
      </w:r>
      <w:r w:rsidRPr="00AA362D">
        <w:rPr>
          <w:b/>
          <w:bCs/>
          <w:szCs w:val="32"/>
          <w:lang w:val="fi-FI"/>
        </w:rPr>
        <w:t>, Annisa Darma Lestari</w:t>
      </w:r>
      <w:r w:rsidRPr="00AA362D">
        <w:rPr>
          <w:b/>
          <w:bCs/>
          <w:szCs w:val="32"/>
          <w:vertAlign w:val="superscript"/>
          <w:lang w:val="fi-FI"/>
        </w:rPr>
        <w:t>2</w:t>
      </w:r>
      <w:r w:rsidRPr="00AA362D">
        <w:rPr>
          <w:b/>
          <w:bCs/>
          <w:szCs w:val="32"/>
          <w:lang w:val="fi-FI"/>
        </w:rPr>
        <w:t>, Abdurrachman</w:t>
      </w:r>
      <w:r w:rsidRPr="00AA362D">
        <w:rPr>
          <w:b/>
          <w:bCs/>
          <w:szCs w:val="32"/>
          <w:vertAlign w:val="superscript"/>
          <w:lang w:val="fi-FI"/>
        </w:rPr>
        <w:t>3</w:t>
      </w:r>
      <w:r w:rsidRPr="00AA362D">
        <w:rPr>
          <w:b/>
          <w:bCs/>
          <w:szCs w:val="32"/>
          <w:lang w:val="fi-FI"/>
        </w:rPr>
        <w:t>, Taat Kuspriyono</w:t>
      </w:r>
      <w:r w:rsidRPr="00AA362D">
        <w:rPr>
          <w:b/>
          <w:bCs/>
          <w:szCs w:val="32"/>
          <w:vertAlign w:val="superscript"/>
          <w:lang w:val="fi-FI"/>
        </w:rPr>
        <w:t>4</w:t>
      </w:r>
      <w:r w:rsidRPr="00AA362D">
        <w:rPr>
          <w:b/>
          <w:bCs/>
          <w:szCs w:val="32"/>
          <w:lang w:val="fi-FI"/>
        </w:rPr>
        <w:t xml:space="preserve">, </w:t>
      </w:r>
    </w:p>
    <w:p w14:paraId="743472F0" w14:textId="7E0F27D5" w:rsidR="00226D31" w:rsidRPr="00DE70A6" w:rsidRDefault="00226D31" w:rsidP="00226D31">
      <w:pPr>
        <w:widowControl w:val="0"/>
        <w:autoSpaceDE w:val="0"/>
        <w:jc w:val="center"/>
        <w:rPr>
          <w:b/>
          <w:bCs/>
          <w:szCs w:val="32"/>
          <w:lang w:val="fi-FI"/>
        </w:rPr>
      </w:pPr>
      <w:r w:rsidRPr="00AA362D">
        <w:rPr>
          <w:b/>
          <w:bCs/>
          <w:szCs w:val="32"/>
          <w:lang w:val="fi-FI"/>
        </w:rPr>
        <w:t>Vera Agsutina Yanti</w:t>
      </w:r>
      <w:r w:rsidRPr="00AA362D">
        <w:rPr>
          <w:b/>
          <w:bCs/>
          <w:szCs w:val="32"/>
          <w:vertAlign w:val="superscript"/>
          <w:lang w:val="fi-FI"/>
        </w:rPr>
        <w:t>5</w:t>
      </w:r>
      <w:r w:rsidRPr="00AA362D">
        <w:rPr>
          <w:b/>
          <w:bCs/>
          <w:szCs w:val="32"/>
          <w:lang w:val="fi-FI"/>
        </w:rPr>
        <w:t>, Lukman Hakim</w:t>
      </w:r>
      <w:r w:rsidRPr="00AA362D">
        <w:rPr>
          <w:b/>
          <w:bCs/>
          <w:szCs w:val="32"/>
          <w:vertAlign w:val="superscript"/>
          <w:lang w:val="fi-FI"/>
        </w:rPr>
        <w:t>6</w:t>
      </w:r>
      <w:r w:rsidRPr="00AA362D">
        <w:rPr>
          <w:b/>
          <w:bCs/>
          <w:szCs w:val="32"/>
          <w:lang w:val="fi-FI"/>
        </w:rPr>
        <w:t>, Suhartono</w:t>
      </w:r>
      <w:r w:rsidR="000F7E0E" w:rsidRPr="00AA362D">
        <w:rPr>
          <w:b/>
          <w:bCs/>
          <w:szCs w:val="32"/>
          <w:lang w:val="fi-FI"/>
        </w:rPr>
        <w:t>*</w:t>
      </w:r>
      <w:r w:rsidRPr="00AA362D">
        <w:rPr>
          <w:b/>
          <w:bCs/>
          <w:szCs w:val="32"/>
          <w:vertAlign w:val="superscript"/>
          <w:lang w:val="fi-FI"/>
        </w:rPr>
        <w:t>7</w:t>
      </w:r>
    </w:p>
    <w:p w14:paraId="1B2A4AEA" w14:textId="77777777" w:rsidR="00226D31" w:rsidRPr="00DE70A6" w:rsidRDefault="00226D31" w:rsidP="00226D31">
      <w:pPr>
        <w:widowControl w:val="0"/>
        <w:autoSpaceDE w:val="0"/>
        <w:jc w:val="center"/>
        <w:rPr>
          <w:b/>
          <w:bCs/>
          <w:szCs w:val="32"/>
          <w:lang w:val="fi-FI"/>
        </w:rPr>
      </w:pPr>
    </w:p>
    <w:p w14:paraId="4794629F" w14:textId="76EA3A9C" w:rsidR="00130AD5" w:rsidRDefault="00226D31" w:rsidP="00A913A3">
      <w:pPr>
        <w:widowControl w:val="0"/>
        <w:autoSpaceDE w:val="0"/>
        <w:jc w:val="center"/>
        <w:rPr>
          <w:bCs/>
          <w:szCs w:val="32"/>
          <w:lang w:val="fi-FI"/>
        </w:rPr>
      </w:pPr>
      <w:r>
        <w:rPr>
          <w:bCs/>
          <w:szCs w:val="32"/>
          <w:lang w:val="fi-FI"/>
        </w:rPr>
        <w:t>Universitas Bina Sarana Informatika</w:t>
      </w:r>
    </w:p>
    <w:p w14:paraId="571CA10F" w14:textId="77777777" w:rsidR="00226D31" w:rsidRDefault="00226D31" w:rsidP="00226D31">
      <w:pPr>
        <w:widowControl w:val="0"/>
        <w:autoSpaceDE w:val="0"/>
        <w:jc w:val="center"/>
        <w:rPr>
          <w:bCs/>
          <w:szCs w:val="32"/>
          <w:lang w:val="fi-FI"/>
        </w:rPr>
      </w:pPr>
      <w:r w:rsidRPr="001543FA">
        <w:rPr>
          <w:bCs/>
          <w:szCs w:val="32"/>
          <w:lang w:val="fi-FI"/>
        </w:rPr>
        <w:t xml:space="preserve">e-mail: </w:t>
      </w:r>
      <w:r w:rsidRPr="00E24DE4">
        <w:rPr>
          <w:bCs/>
          <w:szCs w:val="32"/>
          <w:vertAlign w:val="superscript"/>
          <w:lang w:val="fi-FI"/>
        </w:rPr>
        <w:t>1</w:t>
      </w:r>
      <w:r>
        <w:rPr>
          <w:bCs/>
          <w:szCs w:val="32"/>
          <w:lang w:val="fi-FI"/>
        </w:rPr>
        <w:t>syamsul.ssb</w:t>
      </w:r>
      <w:r w:rsidRPr="00E24DE4">
        <w:rPr>
          <w:bCs/>
          <w:szCs w:val="32"/>
          <w:lang w:val="fi-FI"/>
        </w:rPr>
        <w:t>@</w:t>
      </w:r>
      <w:r>
        <w:rPr>
          <w:bCs/>
          <w:szCs w:val="32"/>
          <w:lang w:val="fi-FI"/>
        </w:rPr>
        <w:t xml:space="preserve">bsi.ac.id, </w:t>
      </w:r>
      <w:r w:rsidRPr="001E7B29">
        <w:rPr>
          <w:bCs/>
          <w:szCs w:val="32"/>
          <w:vertAlign w:val="superscript"/>
          <w:lang w:val="fi-FI"/>
        </w:rPr>
        <w:t>2</w:t>
      </w:r>
      <w:r w:rsidRPr="001E7B29">
        <w:rPr>
          <w:bCs/>
          <w:szCs w:val="32"/>
          <w:lang w:val="fi-FI"/>
        </w:rPr>
        <w:t>annisadarma07@gmail.com</w:t>
      </w:r>
      <w:r>
        <w:rPr>
          <w:bCs/>
          <w:szCs w:val="32"/>
          <w:lang w:val="fi-FI"/>
        </w:rPr>
        <w:t xml:space="preserve">, </w:t>
      </w:r>
      <w:r w:rsidRPr="00FA645E">
        <w:rPr>
          <w:bCs/>
          <w:szCs w:val="32"/>
          <w:vertAlign w:val="superscript"/>
          <w:lang w:val="fi-FI"/>
        </w:rPr>
        <w:t>3</w:t>
      </w:r>
      <w:r w:rsidRPr="00FA645E">
        <w:rPr>
          <w:bCs/>
          <w:szCs w:val="32"/>
          <w:lang w:val="fi-FI"/>
        </w:rPr>
        <w:t>abdurrachman.bdr@bsi</w:t>
      </w:r>
      <w:r>
        <w:rPr>
          <w:bCs/>
          <w:szCs w:val="32"/>
          <w:lang w:val="fi-FI"/>
        </w:rPr>
        <w:t xml:space="preserve">.ac.id, </w:t>
      </w:r>
    </w:p>
    <w:p w14:paraId="005BAF9E" w14:textId="77777777" w:rsidR="00226D31" w:rsidRPr="001543FA" w:rsidRDefault="00226D31" w:rsidP="00226D31">
      <w:pPr>
        <w:widowControl w:val="0"/>
        <w:autoSpaceDE w:val="0"/>
        <w:jc w:val="center"/>
        <w:rPr>
          <w:bCs/>
          <w:szCs w:val="32"/>
          <w:lang w:val="fi-FI"/>
        </w:rPr>
      </w:pPr>
      <w:r>
        <w:rPr>
          <w:bCs/>
          <w:szCs w:val="32"/>
          <w:vertAlign w:val="superscript"/>
          <w:lang w:val="fi-FI"/>
        </w:rPr>
        <w:t>4</w:t>
      </w:r>
      <w:r>
        <w:rPr>
          <w:bCs/>
          <w:szCs w:val="32"/>
          <w:lang w:val="fi-FI"/>
        </w:rPr>
        <w:t>taat.tat</w:t>
      </w:r>
      <w:r w:rsidRPr="001E7B29">
        <w:rPr>
          <w:bCs/>
          <w:szCs w:val="32"/>
          <w:lang w:val="fi-FI"/>
        </w:rPr>
        <w:t>@</w:t>
      </w:r>
      <w:r>
        <w:rPr>
          <w:bCs/>
          <w:szCs w:val="32"/>
          <w:lang w:val="fi-FI"/>
        </w:rPr>
        <w:t>bsi.ac.id,</w:t>
      </w:r>
      <w:r w:rsidRPr="00FA645E">
        <w:rPr>
          <w:bCs/>
          <w:szCs w:val="32"/>
          <w:vertAlign w:val="superscript"/>
          <w:lang w:val="fi-FI"/>
        </w:rPr>
        <w:t xml:space="preserve"> </w:t>
      </w:r>
      <w:r>
        <w:rPr>
          <w:bCs/>
          <w:szCs w:val="32"/>
          <w:vertAlign w:val="superscript"/>
          <w:lang w:val="fi-FI"/>
        </w:rPr>
        <w:t>5</w:t>
      </w:r>
      <w:r>
        <w:rPr>
          <w:bCs/>
          <w:szCs w:val="32"/>
          <w:lang w:val="fi-FI"/>
        </w:rPr>
        <w:t>vera.vay</w:t>
      </w:r>
      <w:r w:rsidRPr="001E7B29">
        <w:rPr>
          <w:bCs/>
          <w:szCs w:val="32"/>
          <w:lang w:val="fi-FI"/>
        </w:rPr>
        <w:t>@</w:t>
      </w:r>
      <w:r>
        <w:rPr>
          <w:bCs/>
          <w:szCs w:val="32"/>
          <w:lang w:val="fi-FI"/>
        </w:rPr>
        <w:t>bsi.ac.id,</w:t>
      </w:r>
      <w:r w:rsidRPr="00FA645E">
        <w:rPr>
          <w:bCs/>
          <w:szCs w:val="32"/>
          <w:vertAlign w:val="superscript"/>
          <w:lang w:val="fi-FI"/>
        </w:rPr>
        <w:t xml:space="preserve"> 6</w:t>
      </w:r>
      <w:r w:rsidRPr="00FA645E">
        <w:rPr>
          <w:bCs/>
          <w:szCs w:val="32"/>
          <w:lang w:val="fi-FI"/>
        </w:rPr>
        <w:t>lukman.lmh@bsi.ac.id</w:t>
      </w:r>
      <w:r>
        <w:rPr>
          <w:bCs/>
          <w:szCs w:val="32"/>
          <w:lang w:val="fi-FI"/>
        </w:rPr>
        <w:t xml:space="preserve">, </w:t>
      </w:r>
      <w:r>
        <w:rPr>
          <w:bCs/>
          <w:szCs w:val="32"/>
          <w:vertAlign w:val="superscript"/>
          <w:lang w:val="fi-FI"/>
        </w:rPr>
        <w:t>7</w:t>
      </w:r>
      <w:r>
        <w:rPr>
          <w:bCs/>
          <w:szCs w:val="32"/>
          <w:lang w:val="fi-FI"/>
        </w:rPr>
        <w:t>suhartono.sht</w:t>
      </w:r>
      <w:r w:rsidRPr="001E7B29">
        <w:rPr>
          <w:bCs/>
          <w:szCs w:val="32"/>
          <w:lang w:val="fi-FI"/>
        </w:rPr>
        <w:t>@</w:t>
      </w:r>
      <w:r>
        <w:rPr>
          <w:bCs/>
          <w:szCs w:val="32"/>
          <w:lang w:val="fi-FI"/>
        </w:rPr>
        <w:t>bsi.ac.id</w:t>
      </w:r>
    </w:p>
    <w:p w14:paraId="586CFAD7" w14:textId="77777777" w:rsidR="00226D31" w:rsidRPr="001543FA" w:rsidRDefault="00226D31" w:rsidP="00226D31">
      <w:pPr>
        <w:widowControl w:val="0"/>
        <w:autoSpaceDE w:val="0"/>
        <w:jc w:val="center"/>
        <w:rPr>
          <w:bCs/>
          <w:szCs w:val="32"/>
          <w:lang w:val="fi-FI"/>
        </w:rPr>
      </w:pPr>
    </w:p>
    <w:p w14:paraId="67DFFE05" w14:textId="77777777" w:rsidR="00226D31" w:rsidRDefault="00226D31" w:rsidP="00226D31">
      <w:pPr>
        <w:widowControl w:val="0"/>
        <w:autoSpaceDE w:val="0"/>
        <w:jc w:val="center"/>
        <w:rPr>
          <w:bCs/>
          <w:szCs w:val="32"/>
          <w:lang w:val="fi-F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6"/>
        <w:gridCol w:w="1701"/>
        <w:gridCol w:w="1276"/>
        <w:gridCol w:w="1843"/>
      </w:tblGrid>
      <w:tr w:rsidR="00EC57A8" w:rsidRPr="007D25E0" w14:paraId="49EDA16C" w14:textId="77777777" w:rsidTr="00AF1ADB">
        <w:trPr>
          <w:trHeight w:val="170"/>
          <w:jc w:val="center"/>
        </w:trPr>
        <w:tc>
          <w:tcPr>
            <w:tcW w:w="1276" w:type="dxa"/>
          </w:tcPr>
          <w:p w14:paraId="16575500"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bCs/>
                <w:i/>
                <w:iCs/>
                <w:lang w:val="fi-FI"/>
              </w:rPr>
              <w:t>Submit</w:t>
            </w:r>
          </w:p>
          <w:p w14:paraId="2F64A7F5"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bCs/>
                <w:i/>
                <w:iCs/>
                <w:lang w:val="fi-FI"/>
              </w:rPr>
              <w:t>12-03-2025</w:t>
            </w:r>
          </w:p>
        </w:tc>
        <w:tc>
          <w:tcPr>
            <w:tcW w:w="1701" w:type="dxa"/>
          </w:tcPr>
          <w:p w14:paraId="438C3C5E"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bCs/>
                <w:i/>
                <w:iCs/>
                <w:lang w:val="fi-FI"/>
              </w:rPr>
              <w:t xml:space="preserve">Revised </w:t>
            </w:r>
          </w:p>
          <w:p w14:paraId="75F4BE3B"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bCs/>
                <w:i/>
                <w:iCs/>
                <w:lang w:val="fi-FI"/>
              </w:rPr>
              <w:t>20-08-2025</w:t>
            </w:r>
          </w:p>
        </w:tc>
        <w:tc>
          <w:tcPr>
            <w:tcW w:w="1276" w:type="dxa"/>
          </w:tcPr>
          <w:p w14:paraId="4932E6B4"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i/>
                <w:iCs/>
                <w:shd w:val="clear" w:color="auto" w:fill="FFFFFF"/>
              </w:rPr>
              <w:t>Accepted</w:t>
            </w:r>
          </w:p>
          <w:p w14:paraId="40C9583D"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bCs/>
                <w:i/>
                <w:iCs/>
                <w:lang w:val="fi-FI"/>
              </w:rPr>
              <w:t>26-08-2025</w:t>
            </w:r>
          </w:p>
        </w:tc>
        <w:tc>
          <w:tcPr>
            <w:tcW w:w="1843" w:type="dxa"/>
          </w:tcPr>
          <w:p w14:paraId="074AF5A1" w14:textId="77777777" w:rsidR="00EC57A8" w:rsidRPr="007D25E0" w:rsidRDefault="00EC57A8" w:rsidP="00AF1ADB">
            <w:pPr>
              <w:widowControl w:val="0"/>
              <w:autoSpaceDE w:val="0"/>
              <w:jc w:val="center"/>
              <w:rPr>
                <w:rFonts w:ascii="Times New Roman" w:hAnsi="Times New Roman"/>
                <w:bCs/>
                <w:i/>
                <w:iCs/>
                <w:lang w:val="fi-FI"/>
              </w:rPr>
            </w:pPr>
            <w:r w:rsidRPr="007D25E0">
              <w:rPr>
                <w:rFonts w:ascii="Times New Roman" w:hAnsi="Times New Roman"/>
                <w:bCs/>
                <w:i/>
                <w:iCs/>
                <w:lang w:val="fi-FI"/>
              </w:rPr>
              <w:t xml:space="preserve">Available Online </w:t>
            </w:r>
          </w:p>
          <w:p w14:paraId="61BDD051" w14:textId="77777777" w:rsidR="00EC57A8" w:rsidRPr="007D25E0" w:rsidRDefault="00EC57A8" w:rsidP="00AF1ADB">
            <w:pPr>
              <w:widowControl w:val="0"/>
              <w:autoSpaceDE w:val="0"/>
              <w:jc w:val="center"/>
              <w:rPr>
                <w:rFonts w:ascii="Times New Roman" w:hAnsi="Times New Roman"/>
                <w:i/>
                <w:iCs/>
                <w:shd w:val="clear" w:color="auto" w:fill="FFFFFF"/>
              </w:rPr>
            </w:pPr>
            <w:r w:rsidRPr="007D25E0">
              <w:rPr>
                <w:rFonts w:ascii="Times New Roman" w:hAnsi="Times New Roman"/>
                <w:bCs/>
                <w:i/>
                <w:iCs/>
                <w:lang w:val="fi-FI"/>
              </w:rPr>
              <w:t>03-09-2025</w:t>
            </w:r>
          </w:p>
        </w:tc>
      </w:tr>
    </w:tbl>
    <w:p w14:paraId="21596281" w14:textId="77777777" w:rsidR="00226D31" w:rsidRDefault="00226D31" w:rsidP="00226D31">
      <w:pPr>
        <w:widowControl w:val="0"/>
        <w:autoSpaceDE w:val="0"/>
        <w:jc w:val="center"/>
        <w:rPr>
          <w:bCs/>
          <w:szCs w:val="32"/>
          <w:lang w:val="fi-FI"/>
        </w:rPr>
      </w:pPr>
    </w:p>
    <w:p w14:paraId="7D24A076" w14:textId="77777777" w:rsidR="00226D31" w:rsidRDefault="00226D31" w:rsidP="00226D31">
      <w:pPr>
        <w:rPr>
          <w:b/>
          <w:lang w:val="sv-SE"/>
        </w:rPr>
      </w:pPr>
    </w:p>
    <w:p w14:paraId="012CD884" w14:textId="77777777" w:rsidR="00226D31" w:rsidRPr="005E4C39" w:rsidRDefault="00226D31" w:rsidP="00226D31">
      <w:pPr>
        <w:rPr>
          <w:szCs w:val="24"/>
        </w:rPr>
      </w:pPr>
      <w:r>
        <w:rPr>
          <w:b/>
          <w:lang w:val="sv-SE"/>
        </w:rPr>
        <w:t>Abstrak</w:t>
      </w:r>
      <w:r w:rsidRPr="00B27765">
        <w:rPr>
          <w:lang w:val="sv-SE"/>
        </w:rPr>
        <w:t xml:space="preserve">  -</w:t>
      </w:r>
      <w:r>
        <w:rPr>
          <w:lang w:val="sv-SE"/>
        </w:rPr>
        <w:t xml:space="preserve"> </w:t>
      </w:r>
      <w:r w:rsidRPr="00920A33">
        <w:rPr>
          <w:lang w:val="id-ID"/>
        </w:rPr>
        <w:t>Langkah awal yang harus dilakukan oleh seorang investor</w:t>
      </w:r>
      <w:r>
        <w:t xml:space="preserve"> dalam berinvestasi</w:t>
      </w:r>
      <w:r w:rsidRPr="00920A33">
        <w:rPr>
          <w:lang w:val="id-ID"/>
        </w:rPr>
        <w:t xml:space="preserve"> adalah melakukan investigasi agar tidak terjebak dengan kondisi yang dapat merugikan. Salah satu</w:t>
      </w:r>
      <w:r>
        <w:t xml:space="preserve"> caranya yaitu</w:t>
      </w:r>
      <w:r w:rsidRPr="00920A33">
        <w:rPr>
          <w:lang w:val="id-ID"/>
        </w:rPr>
        <w:t xml:space="preserve"> investor akan mengamati laporan keuangan perusahaan</w:t>
      </w:r>
      <w:r>
        <w:rPr>
          <w:lang w:val="id-ID"/>
        </w:rPr>
        <w:t xml:space="preserve"> terutama pada </w:t>
      </w:r>
      <w:r>
        <w:t xml:space="preserve">rasio </w:t>
      </w:r>
      <w:r>
        <w:rPr>
          <w:lang w:val="id-ID"/>
        </w:rPr>
        <w:t>ROA dan ROE sebagai acuan</w:t>
      </w:r>
      <w:r w:rsidRPr="00920A33">
        <w:rPr>
          <w:lang w:val="id-ID"/>
        </w:rPr>
        <w:t xml:space="preserve"> untuk pendanaan modalnya</w:t>
      </w:r>
      <w:r>
        <w:rPr>
          <w:lang w:val="id-ID"/>
        </w:rPr>
        <w:t xml:space="preserve">. </w:t>
      </w:r>
      <w:r w:rsidRPr="00641ECD">
        <w:rPr>
          <w:szCs w:val="24"/>
          <w:lang w:val="en-ID"/>
        </w:rPr>
        <w:t>Oleh</w:t>
      </w:r>
      <w:r>
        <w:rPr>
          <w:i/>
          <w:iCs/>
          <w:szCs w:val="24"/>
          <w:lang w:val="en-ID"/>
        </w:rPr>
        <w:t xml:space="preserve"> </w:t>
      </w:r>
      <w:r w:rsidRPr="00641ECD">
        <w:rPr>
          <w:szCs w:val="24"/>
          <w:lang w:val="en-ID"/>
        </w:rPr>
        <w:t xml:space="preserve">karena itu </w:t>
      </w:r>
      <w:r>
        <w:rPr>
          <w:szCs w:val="24"/>
          <w:lang w:val="en-ID"/>
        </w:rPr>
        <w:t>tujuan</w:t>
      </w:r>
      <w:r w:rsidRPr="00641ECD">
        <w:rPr>
          <w:szCs w:val="24"/>
          <w:lang w:val="en-ID"/>
        </w:rPr>
        <w:t xml:space="preserve"> penelitian </w:t>
      </w:r>
      <w:r>
        <w:rPr>
          <w:szCs w:val="24"/>
          <w:lang w:val="en-ID"/>
        </w:rPr>
        <w:t xml:space="preserve">ini </w:t>
      </w:r>
      <w:r w:rsidRPr="00F14DBB">
        <w:rPr>
          <w:szCs w:val="24"/>
        </w:rPr>
        <w:t>untuk mengetahui dan menjelaskan hasil hipotesis pengaruh</w:t>
      </w:r>
      <w:r w:rsidRPr="00F14DBB">
        <w:rPr>
          <w:i/>
          <w:iCs/>
          <w:szCs w:val="24"/>
          <w:lang w:val="en-ID"/>
        </w:rPr>
        <w:t xml:space="preserve"> </w:t>
      </w:r>
      <w:r w:rsidRPr="00641ECD">
        <w:rPr>
          <w:i/>
          <w:iCs/>
          <w:szCs w:val="24"/>
          <w:lang w:val="en-ID"/>
        </w:rPr>
        <w:t xml:space="preserve">Return on Assets </w:t>
      </w:r>
      <w:r w:rsidRPr="00641ECD">
        <w:rPr>
          <w:szCs w:val="24"/>
          <w:lang w:val="en-ID"/>
        </w:rPr>
        <w:t>(ROA</w:t>
      </w:r>
      <w:r>
        <w:rPr>
          <w:szCs w:val="24"/>
          <w:lang w:val="en-ID"/>
        </w:rPr>
        <w:t>) dan</w:t>
      </w:r>
      <w:r w:rsidRPr="00641ECD">
        <w:rPr>
          <w:szCs w:val="24"/>
          <w:lang w:val="en-ID"/>
        </w:rPr>
        <w:t xml:space="preserve"> </w:t>
      </w:r>
      <w:r>
        <w:rPr>
          <w:i/>
          <w:iCs/>
          <w:szCs w:val="24"/>
          <w:lang w:val="id-ID"/>
        </w:rPr>
        <w:t>Return</w:t>
      </w:r>
      <w:r>
        <w:rPr>
          <w:i/>
          <w:iCs/>
          <w:szCs w:val="24"/>
          <w:lang w:val="en-ID"/>
        </w:rPr>
        <w:t xml:space="preserve"> </w:t>
      </w:r>
      <w:r>
        <w:rPr>
          <w:i/>
          <w:iCs/>
          <w:szCs w:val="24"/>
          <w:lang w:val="id-ID"/>
        </w:rPr>
        <w:t>On</w:t>
      </w:r>
      <w:r>
        <w:rPr>
          <w:i/>
          <w:iCs/>
          <w:szCs w:val="24"/>
          <w:lang w:val="en-ID"/>
        </w:rPr>
        <w:t xml:space="preserve"> E</w:t>
      </w:r>
      <w:r>
        <w:rPr>
          <w:i/>
          <w:iCs/>
          <w:szCs w:val="24"/>
          <w:lang w:val="id-ID"/>
        </w:rPr>
        <w:t>quity</w:t>
      </w:r>
      <w:r w:rsidRPr="00641ECD">
        <w:rPr>
          <w:i/>
          <w:iCs/>
          <w:szCs w:val="24"/>
          <w:lang w:val="en-ID"/>
        </w:rPr>
        <w:t xml:space="preserve"> </w:t>
      </w:r>
      <w:r>
        <w:rPr>
          <w:szCs w:val="24"/>
          <w:lang w:val="en-ID"/>
        </w:rPr>
        <w:t>(</w:t>
      </w:r>
      <w:r>
        <w:rPr>
          <w:szCs w:val="24"/>
          <w:lang w:val="id-ID"/>
        </w:rPr>
        <w:t>ROE</w:t>
      </w:r>
      <w:r w:rsidRPr="00641ECD">
        <w:rPr>
          <w:szCs w:val="24"/>
          <w:lang w:val="en-ID"/>
        </w:rPr>
        <w:t>)</w:t>
      </w:r>
      <w:r>
        <w:rPr>
          <w:szCs w:val="24"/>
          <w:lang w:val="en-ID"/>
        </w:rPr>
        <w:t xml:space="preserve"> </w:t>
      </w:r>
      <w:r w:rsidRPr="00641ECD">
        <w:rPr>
          <w:szCs w:val="24"/>
          <w:lang w:val="en-ID"/>
        </w:rPr>
        <w:t>terhadap</w:t>
      </w:r>
      <w:r>
        <w:rPr>
          <w:i/>
          <w:iCs/>
          <w:szCs w:val="24"/>
          <w:lang w:val="en-ID"/>
        </w:rPr>
        <w:t xml:space="preserve"> </w:t>
      </w:r>
      <w:r>
        <w:rPr>
          <w:szCs w:val="24"/>
          <w:lang w:val="en-ID"/>
        </w:rPr>
        <w:t>Nilai Perusahaan p</w:t>
      </w:r>
      <w:r w:rsidRPr="00641ECD">
        <w:rPr>
          <w:szCs w:val="24"/>
          <w:lang w:val="en-ID"/>
        </w:rPr>
        <w:t xml:space="preserve">ada </w:t>
      </w:r>
      <w:r>
        <w:rPr>
          <w:szCs w:val="24"/>
          <w:lang w:val="en-ID"/>
        </w:rPr>
        <w:t>p</w:t>
      </w:r>
      <w:r w:rsidRPr="00641ECD">
        <w:rPr>
          <w:szCs w:val="24"/>
          <w:lang w:val="en-ID"/>
        </w:rPr>
        <w:t xml:space="preserve">erusahaan </w:t>
      </w:r>
      <w:r>
        <w:rPr>
          <w:szCs w:val="24"/>
          <w:lang w:val="id-ID"/>
        </w:rPr>
        <w:t xml:space="preserve">perbankan </w:t>
      </w:r>
      <w:r>
        <w:rPr>
          <w:szCs w:val="24"/>
          <w:lang w:val="en-ID"/>
        </w:rPr>
        <w:t>yang terdaftar di BEI periode</w:t>
      </w:r>
      <w:r w:rsidRPr="00641ECD">
        <w:rPr>
          <w:szCs w:val="24"/>
          <w:lang w:val="en-ID"/>
        </w:rPr>
        <w:t xml:space="preserve"> 20</w:t>
      </w:r>
      <w:r>
        <w:rPr>
          <w:szCs w:val="24"/>
          <w:lang w:val="en-ID"/>
        </w:rPr>
        <w:t>19</w:t>
      </w:r>
      <w:r w:rsidRPr="00641ECD">
        <w:rPr>
          <w:szCs w:val="24"/>
          <w:lang w:val="en-ID"/>
        </w:rPr>
        <w:t>-20</w:t>
      </w:r>
      <w:r>
        <w:rPr>
          <w:szCs w:val="24"/>
          <w:lang w:val="en-ID"/>
        </w:rPr>
        <w:t>22</w:t>
      </w:r>
      <w:r w:rsidRPr="00641ECD">
        <w:rPr>
          <w:szCs w:val="24"/>
          <w:lang w:val="en-ID"/>
        </w:rPr>
        <w:t xml:space="preserve">. </w:t>
      </w:r>
      <w:r>
        <w:rPr>
          <w:szCs w:val="24"/>
          <w:lang w:val="en-ID"/>
        </w:rPr>
        <w:t xml:space="preserve">Metode yang digunakan dengan </w:t>
      </w:r>
      <w:r w:rsidRPr="005D1518">
        <w:rPr>
          <w:szCs w:val="24"/>
        </w:rPr>
        <w:t xml:space="preserve">uji </w:t>
      </w:r>
      <w:r>
        <w:rPr>
          <w:szCs w:val="24"/>
        </w:rPr>
        <w:t>a</w:t>
      </w:r>
      <w:r w:rsidRPr="005D1518">
        <w:rPr>
          <w:szCs w:val="24"/>
        </w:rPr>
        <w:t>sumsi klasik</w:t>
      </w:r>
      <w:r>
        <w:rPr>
          <w:szCs w:val="24"/>
        </w:rPr>
        <w:t>,</w:t>
      </w:r>
      <w:r w:rsidRPr="005D1518">
        <w:rPr>
          <w:szCs w:val="24"/>
        </w:rPr>
        <w:t xml:space="preserve"> analisis regresi linear berganda</w:t>
      </w:r>
      <w:r w:rsidRPr="00743B0C">
        <w:rPr>
          <w:szCs w:val="24"/>
        </w:rPr>
        <w:t xml:space="preserve"> </w:t>
      </w:r>
      <w:r>
        <w:rPr>
          <w:szCs w:val="24"/>
        </w:rPr>
        <w:t xml:space="preserve">dan </w:t>
      </w:r>
      <w:r w:rsidRPr="005D1518">
        <w:rPr>
          <w:szCs w:val="24"/>
        </w:rPr>
        <w:t>uji hipotesis dengan, uji t, uji f serta uji koefisien determinasi. Adapun hasil penelitian i</w:t>
      </w:r>
      <w:r>
        <w:rPr>
          <w:szCs w:val="24"/>
        </w:rPr>
        <w:t>ni menunjukkan bahwa</w:t>
      </w:r>
      <w:r w:rsidRPr="005D1518">
        <w:rPr>
          <w:szCs w:val="24"/>
        </w:rPr>
        <w:t xml:space="preserve"> </w:t>
      </w:r>
      <w:r>
        <w:rPr>
          <w:szCs w:val="24"/>
        </w:rPr>
        <w:t xml:space="preserve">berdasarkan hasil uji  signifikansi parsial (t) dan uji signifikansi simultan (f) adalah </w:t>
      </w:r>
      <w:r>
        <w:rPr>
          <w:szCs w:val="24"/>
          <w:lang w:val="id-ID"/>
        </w:rPr>
        <w:t>ROA</w:t>
      </w:r>
      <w:r>
        <w:rPr>
          <w:szCs w:val="24"/>
        </w:rPr>
        <w:t xml:space="preserve"> dan ROE berpengaruh signifikan secara parsial dan signifikan secara simultan terhadap harga saham</w:t>
      </w:r>
      <w:r w:rsidRPr="0024374B">
        <w:rPr>
          <w:szCs w:val="24"/>
        </w:rPr>
        <w:t xml:space="preserve">. </w:t>
      </w:r>
      <w:r>
        <w:rPr>
          <w:szCs w:val="24"/>
        </w:rPr>
        <w:t xml:space="preserve">Kemudian hasil uji koefisien determinasi menunjukkan nilai R square sebesar  29,1%, artinya ROA dan ROE memiliki kontribusi 29,1% terhadap harga saham. Hal ini menunjukkan bahwa semakin meningkatnya ROA dan ROE akan semakin meningkat harga saham pada perusahaan </w:t>
      </w:r>
      <w:r>
        <w:rPr>
          <w:szCs w:val="24"/>
          <w:lang w:val="id-ID"/>
        </w:rPr>
        <w:t>perbankan</w:t>
      </w:r>
      <w:r>
        <w:rPr>
          <w:szCs w:val="24"/>
        </w:rPr>
        <w:t xml:space="preserve"> yang terdaftar di Bursa Efek Indonesia.</w:t>
      </w:r>
    </w:p>
    <w:p w14:paraId="307AE6FE" w14:textId="77777777" w:rsidR="00226D31" w:rsidRPr="00B27765" w:rsidRDefault="00226D31" w:rsidP="00226D31"/>
    <w:p w14:paraId="75FC6A19" w14:textId="77777777" w:rsidR="00226D31" w:rsidRPr="00F75D96" w:rsidRDefault="00226D31" w:rsidP="00226D31">
      <w:pPr>
        <w:rPr>
          <w:bCs/>
          <w:lang w:val="id-ID"/>
        </w:rPr>
      </w:pPr>
      <w:r w:rsidRPr="00F75D96">
        <w:rPr>
          <w:b/>
          <w:bCs/>
          <w:lang w:val="fr-FR"/>
        </w:rPr>
        <w:t>Kata Kunci:</w:t>
      </w:r>
      <w:r w:rsidRPr="00B27765">
        <w:rPr>
          <w:lang w:val="fr-FR"/>
        </w:rPr>
        <w:t xml:space="preserve"> </w:t>
      </w:r>
      <w:r w:rsidRPr="00F75D96">
        <w:rPr>
          <w:bCs/>
          <w:i/>
          <w:lang w:val="id-ID"/>
        </w:rPr>
        <w:t>Return On Assetss</w:t>
      </w:r>
      <w:r w:rsidRPr="00F75D96">
        <w:rPr>
          <w:bCs/>
          <w:lang w:val="id-ID"/>
        </w:rPr>
        <w:t xml:space="preserve"> (ROA), </w:t>
      </w:r>
      <w:r w:rsidRPr="00F75D96">
        <w:rPr>
          <w:bCs/>
          <w:i/>
          <w:lang w:val="id-ID"/>
        </w:rPr>
        <w:t>Return On Equity</w:t>
      </w:r>
      <w:r w:rsidRPr="00F75D96">
        <w:rPr>
          <w:bCs/>
          <w:lang w:val="id-ID"/>
        </w:rPr>
        <w:t xml:space="preserve"> (ROE), Harga Saham</w:t>
      </w:r>
    </w:p>
    <w:p w14:paraId="6F7F45E4" w14:textId="77777777" w:rsidR="00226D31" w:rsidRPr="00F75D96" w:rsidRDefault="00226D31" w:rsidP="00226D31">
      <w:pPr>
        <w:rPr>
          <w:bCs/>
          <w:lang w:val="id-ID"/>
        </w:rPr>
      </w:pPr>
    </w:p>
    <w:p w14:paraId="00A9275B" w14:textId="77777777" w:rsidR="00226D31" w:rsidRPr="00F75D96" w:rsidRDefault="00226D31" w:rsidP="00226D31">
      <w:pPr>
        <w:rPr>
          <w:i/>
          <w:iCs/>
        </w:rPr>
      </w:pPr>
      <w:r w:rsidRPr="00F75D96">
        <w:rPr>
          <w:b/>
          <w:bCs/>
          <w:i/>
          <w:iCs/>
        </w:rPr>
        <w:t>Abstract</w:t>
      </w:r>
      <w:r w:rsidRPr="00F75D96">
        <w:rPr>
          <w:i/>
          <w:iCs/>
        </w:rPr>
        <w:t xml:space="preserve"> - The first step that must be taken by an investor in investing is to conduct an investigation so as not to get caught in conditions that can be detrimental. One way is that investors will observe the company's financial statements, especially the ROA and ROE ratios as a reference for funding their capital. Therefore, the purpose of this study is to determine and explain the results of the hypothesis of the effect of Return on Assets (ROA) and Return on Equity (ROE) on Company Value in banking companies listed on the IDX for the 2019-2022 period. The method used is the classical assumption test, multiple linear regression analysis and hypothesis testing with, t-test, f-test and coefficient of determination test. The results of this study indicate that based on the results of the partial significance test (t) and the simultaneous significance test (f), ROA and ROE have a significant partial and significant simultaneous effect on stock prices. Then the results of the coefficient of determination test show an R square value of 29.1%, meaning that ROA and ROE have a 29.1% contribution to stock prices. This shows that the increasing ROA and ROE will increase the stock price of banking companies listed on the Indonesia Stock Exchange. </w:t>
      </w:r>
    </w:p>
    <w:p w14:paraId="74577458" w14:textId="77777777" w:rsidR="00226D31" w:rsidRPr="00F75D96" w:rsidRDefault="00226D31" w:rsidP="00226D31">
      <w:pPr>
        <w:rPr>
          <w:i/>
          <w:iCs/>
        </w:rPr>
      </w:pPr>
    </w:p>
    <w:p w14:paraId="5A174D34" w14:textId="77777777" w:rsidR="00226D31" w:rsidRPr="00F75D96" w:rsidRDefault="00226D31" w:rsidP="00226D31">
      <w:pPr>
        <w:rPr>
          <w:i/>
          <w:iCs/>
        </w:rPr>
      </w:pPr>
      <w:r w:rsidRPr="00F75D96">
        <w:rPr>
          <w:b/>
          <w:bCs/>
          <w:i/>
          <w:iCs/>
        </w:rPr>
        <w:t>Keywords:</w:t>
      </w:r>
      <w:r w:rsidRPr="00F75D96">
        <w:rPr>
          <w:i/>
          <w:iCs/>
        </w:rPr>
        <w:t xml:space="preserve"> Return On Assets (ROA), Return On Equity (ROE), Share Price</w:t>
      </w:r>
    </w:p>
    <w:p w14:paraId="4E59B405" w14:textId="77777777" w:rsidR="008E339C" w:rsidRDefault="008E339C" w:rsidP="00CF3A6F">
      <w:pPr>
        <w:widowControl w:val="0"/>
        <w:autoSpaceDE w:val="0"/>
        <w:ind w:right="-1"/>
        <w:rPr>
          <w:b/>
          <w:bCs/>
          <w:lang w:val="sv-SE"/>
        </w:rPr>
      </w:pPr>
    </w:p>
    <w:p w14:paraId="625C024D" w14:textId="77777777" w:rsidR="00CF3A6F" w:rsidRDefault="00CF3A6F" w:rsidP="00CF3A6F">
      <w:pPr>
        <w:widowControl w:val="0"/>
        <w:autoSpaceDE w:val="0"/>
        <w:ind w:right="-1"/>
        <w:rPr>
          <w:b/>
          <w:bCs/>
          <w:lang w:val="sv-SE"/>
        </w:rPr>
        <w:sectPr w:rsidR="00CF3A6F" w:rsidSect="00C77C9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701" w:right="1134" w:bottom="1134" w:left="1701" w:header="567" w:footer="720" w:gutter="0"/>
          <w:cols w:space="461"/>
          <w:titlePg/>
          <w:docGrid w:linePitch="272"/>
        </w:sectPr>
      </w:pPr>
    </w:p>
    <w:p w14:paraId="7ED11FAE" w14:textId="77777777" w:rsidR="00CF3A6F" w:rsidRDefault="00CF3A6F" w:rsidP="00CF3A6F">
      <w:pPr>
        <w:widowControl w:val="0"/>
        <w:autoSpaceDE w:val="0"/>
        <w:ind w:right="-1"/>
        <w:rPr>
          <w:b/>
          <w:bCs/>
          <w:w w:val="104"/>
          <w:lang w:val="sv-SE"/>
        </w:rPr>
      </w:pPr>
      <w:r>
        <w:rPr>
          <w:b/>
          <w:bCs/>
          <w:spacing w:val="1"/>
          <w:w w:val="104"/>
          <w:lang w:val="sv-SE"/>
        </w:rPr>
        <w:t>P</w:t>
      </w:r>
      <w:r>
        <w:rPr>
          <w:b/>
          <w:bCs/>
          <w:spacing w:val="-1"/>
          <w:w w:val="104"/>
          <w:lang w:val="sv-SE"/>
        </w:rPr>
        <w:t>E</w:t>
      </w:r>
      <w:r>
        <w:rPr>
          <w:b/>
          <w:bCs/>
          <w:w w:val="104"/>
          <w:lang w:val="sv-SE"/>
        </w:rPr>
        <w:t>NDA</w:t>
      </w:r>
      <w:r>
        <w:rPr>
          <w:b/>
          <w:bCs/>
          <w:spacing w:val="1"/>
          <w:w w:val="104"/>
          <w:lang w:val="sv-SE"/>
        </w:rPr>
        <w:t>H</w:t>
      </w:r>
      <w:r>
        <w:rPr>
          <w:b/>
          <w:bCs/>
          <w:spacing w:val="2"/>
          <w:w w:val="104"/>
          <w:lang w:val="sv-SE"/>
        </w:rPr>
        <w:t>U</w:t>
      </w:r>
      <w:r>
        <w:rPr>
          <w:b/>
          <w:bCs/>
          <w:spacing w:val="-1"/>
          <w:w w:val="104"/>
          <w:lang w:val="sv-SE"/>
        </w:rPr>
        <w:t>L</w:t>
      </w:r>
      <w:r>
        <w:rPr>
          <w:b/>
          <w:bCs/>
          <w:w w:val="104"/>
          <w:lang w:val="sv-SE"/>
        </w:rPr>
        <w:t>U</w:t>
      </w:r>
      <w:r>
        <w:rPr>
          <w:b/>
          <w:bCs/>
          <w:spacing w:val="2"/>
          <w:w w:val="104"/>
          <w:lang w:val="sv-SE"/>
        </w:rPr>
        <w:t>A</w:t>
      </w:r>
      <w:r>
        <w:rPr>
          <w:b/>
          <w:bCs/>
          <w:w w:val="104"/>
          <w:lang w:val="sv-SE"/>
        </w:rPr>
        <w:t>N</w:t>
      </w:r>
    </w:p>
    <w:p w14:paraId="37B96301" w14:textId="77777777" w:rsidR="00D40811" w:rsidRDefault="00D40811" w:rsidP="00CF3A6F">
      <w:pPr>
        <w:rPr>
          <w:lang w:val="sv-SE"/>
        </w:rPr>
      </w:pPr>
    </w:p>
    <w:p w14:paraId="3A83265C" w14:textId="581D8B7E" w:rsidR="00226D31" w:rsidRPr="00920A33" w:rsidRDefault="00226D31" w:rsidP="006141FA">
      <w:pPr>
        <w:ind w:firstLine="567"/>
        <w:rPr>
          <w:lang w:val="id-ID"/>
        </w:rPr>
      </w:pPr>
      <w:r w:rsidRPr="00920A33">
        <w:rPr>
          <w:lang w:val="id-ID"/>
        </w:rPr>
        <w:t>Salah satu dari banyaknya pilihan untuk berinvestasi adalah investasi saham, yang sering dilakukan melalui pasar saham. Maka dari itu masyarakat saat ini bersiap untuk melakukan investasi yang signifikan dengan perhatian yang cermat terhadap pertumbuhan zaman yang meningkat</w:t>
      </w:r>
      <w:r>
        <w:t>.</w:t>
      </w:r>
      <w:r w:rsidRPr="00920A33">
        <w:rPr>
          <w:lang w:val="id-ID"/>
        </w:rPr>
        <w:t xml:space="preserve"> Investor sangat memerlukan informasi yang akurat dan relevan karena risiko yang tinggi dalam memilih strategi investasi yang terkait dengan sekuritas dengan pengembalian yang signifikan terutama pada sektor bank. Bank merupakan </w:t>
      </w:r>
      <w:r w:rsidRPr="00920A33">
        <w:rPr>
          <w:lang w:val="id-ID"/>
        </w:rPr>
        <w:t xml:space="preserve">komponen yang sangat penting dalam sektor keuangan, terutama dengan semakin melimpahnya perusahaan </w:t>
      </w:r>
      <w:r w:rsidRPr="00920A33">
        <w:rPr>
          <w:i/>
          <w:lang w:val="id-ID"/>
        </w:rPr>
        <w:t>go public</w:t>
      </w:r>
      <w:r w:rsidRPr="00920A33">
        <w:rPr>
          <w:lang w:val="id-ID"/>
        </w:rPr>
        <w:t xml:space="preserve"> yang bermunculan menginventarisasisakan sahamnya di Bursa Efek Indonesia. Sebab, harus ada kebijakan yang efektif untuk meningkatka</w:t>
      </w:r>
      <w:r>
        <w:rPr>
          <w:lang w:val="id-ID"/>
        </w:rPr>
        <w:t xml:space="preserve"> </w:t>
      </w:r>
      <w:r w:rsidRPr="00920A33">
        <w:rPr>
          <w:lang w:val="id-ID"/>
        </w:rPr>
        <w:t>n produktivitas dunia usaha, salah satunya penjualan surat berharga di pasar terbuka yang pada akhirnya akan menjadi sumber pendanaan utama perseroan. Langkah awal yang harus dilakukan oleh seorang investor adalah melakukan investigasi agar tidak terjebak dengan kondisi yang dapat merugikan. Salah satunya calon investor akan mengamati laporan keuangan perusahaan</w:t>
      </w:r>
      <w:r>
        <w:rPr>
          <w:lang w:val="id-ID"/>
        </w:rPr>
        <w:t xml:space="preserve"> terutama </w:t>
      </w:r>
      <w:r>
        <w:rPr>
          <w:lang w:val="id-ID"/>
        </w:rPr>
        <w:lastRenderedPageBreak/>
        <w:t>pada ROA dan ROE sebagai acuan</w:t>
      </w:r>
      <w:r w:rsidRPr="00920A33">
        <w:rPr>
          <w:lang w:val="id-ID"/>
        </w:rPr>
        <w:t xml:space="preserve"> untuk pendanaan modalnya, yang menggambarkan suatu permasalahan yaitu transformasi atau ketidakpastian pada harga saham yang selalu berubah-ubah.</w:t>
      </w:r>
      <w:r w:rsidR="00EB43F0">
        <w:t xml:space="preserve"> </w:t>
      </w:r>
      <w:r w:rsidRPr="00920A33">
        <w:rPr>
          <w:lang w:val="id-ID"/>
        </w:rPr>
        <w:t xml:space="preserve">Menurut  </w:t>
      </w:r>
      <w:r>
        <w:rPr>
          <w:lang w:val="id-ID"/>
        </w:rPr>
        <w:fldChar w:fldCharType="begin" w:fldLock="1"/>
      </w:r>
      <w:r>
        <w:rPr>
          <w:lang w:val="id-ID"/>
        </w:rPr>
        <w:instrText>ADDIN CSL_CITATION {"citationItems":[{"id":"ITEM-1","itemData":{"author":[{"dropping-particle":"","family":"Hasballah","given":"Ibrahim","non-dropping-particle":"","parse-names":false,"suffix":""}],"container-title":"jurnal hukum islam dan ekonomi syariah issn: 2354-6468 (p); 2807-7695 (e)","id":"ITEM-1","issued":{"date-parts":[["2022"]]},"page":"9-12","title":"Analisis Pengaruh Return On Assets (ROA), Return On Equity (ROE), Price Earning Ratio (PER) Terhadap Harga Saham Pada Perbankan yang Terdaftar di Bursa Efek Indonesia (Periode 2011-2014) Ibrahim Jurnal al-mizan: jurnal hukum islam dan ekonomi syariah issn","type":"article-journal","volume":"6468"},"uris":["http://www.mendeley.com/documents/?uuid=9ab117e9-b1b0-403c-bbdd-dca8175f8762"]}],"mendeley":{"formattedCitation":"(Hasballah, 2022)","plainTextFormattedCitation":"(Hasballah, 2022)","previouslyFormattedCitation":"(Hasballah, 2022)"},"properties":{"noteIndex":0},"schema":"https://github.com/citation-style-language/schema/raw/master/csl-citation.json"}</w:instrText>
      </w:r>
      <w:r>
        <w:rPr>
          <w:lang w:val="id-ID"/>
        </w:rPr>
        <w:fldChar w:fldCharType="separate"/>
      </w:r>
      <w:r w:rsidRPr="00933500">
        <w:rPr>
          <w:noProof/>
          <w:lang w:val="id-ID"/>
        </w:rPr>
        <w:t>(Hasballah, 2022)</w:t>
      </w:r>
      <w:r>
        <w:rPr>
          <w:lang w:val="id-ID"/>
        </w:rPr>
        <w:fldChar w:fldCharType="end"/>
      </w:r>
      <w:r w:rsidRPr="00920A33">
        <w:rPr>
          <w:lang w:val="id-ID"/>
        </w:rPr>
        <w:t xml:space="preserve"> Pasar modal merupakan tempat bertemunya pihak yang membutuhkan dana dengan pihak yang memiliki dana untuk memperjualbelikan </w:t>
      </w:r>
      <w:r>
        <w:rPr>
          <w:lang w:val="id-ID"/>
        </w:rPr>
        <w:t xml:space="preserve"> </w:t>
      </w:r>
      <w:r w:rsidRPr="00920A33">
        <w:rPr>
          <w:lang w:val="id-ID"/>
        </w:rPr>
        <w:t>sekuritas. Oleh karena itu pasar modal dapat diartikan sebagai pasar untuk memperjual belikan seperti saham dan obligasi yang merupakan bagian dari sekuritas. Saham diperjualbelikan melalui Bursa Efek yang merupakan sarana pasar modal yang ada di Indonesia. Saham yang paling digemari yaitu sektor bank dikarenakan sektor bank merupakan salah satu sektor terpenting bagi setiap negara. Kehadiran sektor bank akan terus berkembang dan akan berlangsung lama dari zaman ke zaman. Sektor bank memperlihatkan eksistensinya pencapaian hasil dan dalam kinerja yang menjanjikan dengan mempunyai likuiditas dan kapitalisasi pasar yang tinggi.</w:t>
      </w:r>
    </w:p>
    <w:p w14:paraId="06C8FFD5" w14:textId="3D675437" w:rsidR="00226D31" w:rsidRPr="00CD5BA4" w:rsidRDefault="00226D31" w:rsidP="006141FA">
      <w:pPr>
        <w:ind w:firstLine="567"/>
        <w:rPr>
          <w:lang w:val="id-ID"/>
        </w:rPr>
      </w:pPr>
      <w:r w:rsidRPr="00920A33">
        <w:rPr>
          <w:lang w:val="id-ID"/>
        </w:rPr>
        <w:t xml:space="preserve">Perbedaan antara analisis saat ini dan analisis sebelumnya terlihat pada tahun penulisan yang akan penulis teliti yaitu empat tahun terakhir yang diterbitkan pada tahun 2019–2022. Semua penelitian tentang hubungan antara ROA dan ROE dengan harga saham di sektor bank telah banyak dipublikasikan. Komponen yang pertama adalah </w:t>
      </w:r>
      <w:r w:rsidRPr="002F3370">
        <w:rPr>
          <w:i/>
          <w:lang w:val="id-ID"/>
        </w:rPr>
        <w:t>Return On Assets</w:t>
      </w:r>
      <w:r w:rsidRPr="00920A33">
        <w:rPr>
          <w:lang w:val="id-ID"/>
        </w:rPr>
        <w:t xml:space="preserve"> yang mana merupakan suatu bagian dari rasio profitabilitas, yang keuntungan perusahaannya dilihat dan dihitung sesuai dengan peringkat penilaian aset perusahaan. “</w:t>
      </w:r>
      <w:r w:rsidRPr="002F3370">
        <w:rPr>
          <w:i/>
          <w:lang w:val="id-ID"/>
        </w:rPr>
        <w:t>Return On Assets</w:t>
      </w:r>
      <w:r w:rsidRPr="00920A33">
        <w:rPr>
          <w:lang w:val="id-ID"/>
        </w:rPr>
        <w:t xml:space="preserve"> adalah rasio yang digunakan untuk menilai potensi modal yang telah diinvestasikan dalam semua aktiva untuk menghasilkan keuntungan neto” </w:t>
      </w:r>
      <w:r w:rsidRPr="00920A33">
        <w:rPr>
          <w:lang w:val="id-ID"/>
        </w:rPr>
        <w:fldChar w:fldCharType="begin" w:fldLock="1"/>
      </w:r>
      <w:r w:rsidRPr="00920A33">
        <w:rPr>
          <w:lang w:val="id-ID"/>
        </w:rPr>
        <w:instrText>ADDIN CSL_CITATION {"citationItems":[{"id":"ITEM-1","itemData":{"abstract":"Penelitian ini bertujuan untuk mengetahui Return On Asset (ROA), Return On Equity (ROE), dan Net Profit Margin (NPM) terhadap Harga Saham Perusahaan Pertambangan Sub Sektor Pertambangan Minyak dan Gas Bumi. Populasi dalam penelitianan iniberjumlah 10 Perusahaan. Sampel dalam penelitian ini sebanyak sembilan perusahaan yang terdaftar di Bursa Efek Indonesia (BEI) dalam kurun waktu 2014-2018. Metode dalam pengambilan sampel yang digunakan dalam penelitian ini adalah Purposive Sampling. Datayang digunakan adalah data sekunder yang dikumpulkan menggunakan metode dokumentasi data. Berdasarkan hasil uji hipotensis menggunakan regresi liner berganda dengan program SPSS 24, diketahui bahwa Return On Asset (ROA) secara parsial tidak berpengaruh signitifikan terhadap harga saham, Return On Asset (ROE) secara tidak parsial berpengaruh signitifikan terhadap harga saham, dan Net Profit Margin (NPM) secara parsial tidak berpengaruh signitifikan terhadap harga saham. Return On Asset (ROA), Return On Equity (ROE), dan Net Profit Margin (NPM) secara bersama-sama (simultan) tidak berpengaruh signitifikan terhadap hargasaham.","author":[{"dropping-particle":"","family":"Susanti","given":"Weni","non-dropping-particle":"","parse-names":false,"suffix":""},{"dropping-particle":"","family":"Kesuma","given":"Indrawati Mara","non-dropping-particle":"","parse-names":false,"suffix":""},{"dropping-particle":"","family":"Maya","given":"Wisdalia","non-dropping-particle":"","parse-names":false,"suffix":""}],"container-title":"Journal Ekombis Review","id":"ITEM-1","issue":"2","issued":{"date-parts":[["2021"]]},"page":"171-182","title":"Pengaruh Return On Asset, Return On Equity, Net Profit Margin","type":"article-journal","volume":"9"},"uris":["http://www.mendeley.com/documents/?uuid=0ccd10e1-b15f-47fd-b697-ef224a3bbf23"]}],"mendeley":{"formattedCitation":"(Susanti et al., 2021)","plainTextFormattedCitation":"(Susanti et al., 2021)","previouslyFormattedCitation":"(Susanti et al., 2021)"},"properties":{"noteIndex":0},"schema":"https://github.com/citation-style-language/schema/raw/master/csl-citation.json"}</w:instrText>
      </w:r>
      <w:r w:rsidRPr="00920A33">
        <w:rPr>
          <w:lang w:val="id-ID"/>
        </w:rPr>
        <w:fldChar w:fldCharType="separate"/>
      </w:r>
      <w:r w:rsidRPr="00920A33">
        <w:rPr>
          <w:noProof/>
          <w:lang w:val="id-ID"/>
        </w:rPr>
        <w:t>(Susanti et al., 2021)</w:t>
      </w:r>
      <w:r w:rsidRPr="00920A33">
        <w:rPr>
          <w:lang w:val="id-ID"/>
        </w:rPr>
        <w:fldChar w:fldCharType="end"/>
      </w:r>
      <w:r w:rsidRPr="00920A33">
        <w:rPr>
          <w:lang w:val="id-ID"/>
        </w:rPr>
        <w:t xml:space="preserve">. </w:t>
      </w:r>
      <w:r w:rsidRPr="00920A33">
        <w:rPr>
          <w:i/>
          <w:lang w:val="id-ID"/>
        </w:rPr>
        <w:t>Value</w:t>
      </w:r>
      <w:r w:rsidRPr="00920A33">
        <w:rPr>
          <w:lang w:val="id-ID"/>
        </w:rPr>
        <w:t xml:space="preserve"> </w:t>
      </w:r>
      <w:r w:rsidRPr="002F3370">
        <w:rPr>
          <w:i/>
          <w:lang w:val="id-ID"/>
        </w:rPr>
        <w:t>Return On Assets</w:t>
      </w:r>
      <w:r w:rsidRPr="00920A33">
        <w:rPr>
          <w:lang w:val="id-ID"/>
        </w:rPr>
        <w:t xml:space="preserve"> yang stabil hendak menciptakan harga saham suatu perusahaan menjadi bertambah. Penelitian lain yang digarap mengenai </w:t>
      </w:r>
      <w:r w:rsidRPr="002F3370">
        <w:rPr>
          <w:i/>
          <w:lang w:val="id-ID"/>
        </w:rPr>
        <w:t>Return On Assets</w:t>
      </w:r>
      <w:r w:rsidRPr="00920A33">
        <w:rPr>
          <w:lang w:val="id-ID"/>
        </w:rPr>
        <w:t xml:space="preserve"> oleh </w:t>
      </w:r>
      <w:r w:rsidRPr="00920A33">
        <w:rPr>
          <w:lang w:val="id-ID"/>
        </w:rPr>
        <w:fldChar w:fldCharType="begin" w:fldLock="1"/>
      </w:r>
      <w:r w:rsidRPr="00920A33">
        <w:rPr>
          <w:lang w:val="id-ID"/>
        </w:rPr>
        <w:instrText>ADDIN CSL_CITATION {"citationItems":[{"id":"ITEM-1","itemData":{"ISSN":"2599-2651","author":[{"dropping-particle":"","family":"Junaidi","given":"Junaidi","non-dropping-particle":"","parse-names":false,"suffix":""},{"dropping-particle":"","family":"Cipta","given":"Wayan","non-dropping-particle":"","parse-names":false,"suffix":""}],"container-title":"Jurnal Ilmiah Akuntansi dan Humanika","id":"ITEM-1","issue":"2","issued":{"date-parts":[["2021"]]},"page":"189-198","title":"Pengaruh Return on Asset dan Return on Equity serta Net Profit Margin terhadap Harga Saham Indeks Lq45 di Bursa Efek Indonesia","type":"article-journal","volume":"11"},"uris":["http://www.mendeley.com/documents/?uuid=10b13157-2781-452b-a147-67748b4e617d"]}],"mendeley":{"formattedCitation":"(Junaidi &amp; Cipta, 2021)","plainTextFormattedCitation":"(Junaidi &amp; Cipta, 2021)","previouslyFormattedCitation":"(Junaidi &amp; Cipta, 2021)"},"properties":{"noteIndex":0},"schema":"https://github.com/citation-style-language/schema/raw/master/csl-citation.json"}</w:instrText>
      </w:r>
      <w:r w:rsidRPr="00920A33">
        <w:rPr>
          <w:lang w:val="id-ID"/>
        </w:rPr>
        <w:fldChar w:fldCharType="separate"/>
      </w:r>
      <w:r w:rsidRPr="00920A33">
        <w:rPr>
          <w:noProof/>
          <w:lang w:val="id-ID"/>
        </w:rPr>
        <w:t>(Junaidi &amp; Cipta, 2021)</w:t>
      </w:r>
      <w:r w:rsidRPr="00920A33">
        <w:rPr>
          <w:lang w:val="id-ID"/>
        </w:rPr>
        <w:fldChar w:fldCharType="end"/>
      </w:r>
      <w:r w:rsidRPr="00920A33">
        <w:rPr>
          <w:lang w:val="id-ID"/>
        </w:rPr>
        <w:t xml:space="preserve">, </w:t>
      </w:r>
      <w:r w:rsidRPr="00920A33">
        <w:rPr>
          <w:lang w:val="id-ID"/>
        </w:rPr>
        <w:fldChar w:fldCharType="begin" w:fldLock="1"/>
      </w:r>
      <w:r>
        <w:rPr>
          <w:lang w:val="id-ID"/>
        </w:rPr>
        <w:instrText>ADDIN CSL_CITATION {"citationItems":[{"id":"ITEM-1","itemData":{"ISSN":"2613-8956","author":[{"dropping-particle":"","family":"Putri","given":"Nyayu Khairani","non-dropping-particle":"","parse-names":false,"suffix":""},{"dropping-particle":"","family":"Septianti","given":"Dian","non-dropping-particle":"","parse-names":false,"suffix":""}],"container-title":"Jurnal Akuntansi Dan Bisnis","id":"ITEM-1","issue":"2","issued":{"date-parts":[["2020"]]},"page":"145-155","title":"Pengaruh Return on Assets Return on Equity Debt To Equity Ratio Dan Book Value Per Share Terhadap Harga Saham","type":"article-journal","volume":"5"},"uris":["http://www.mendeley.com/documents/?uuid=6bb206b2-0105-4a9a-9f0a-7be0f9e89472"]}],"mendeley":{"formattedCitation":"(Putri &amp; Septianti, 2020)","plainTextFormattedCitation":"(Putri &amp; Septianti, 2020)","previouslyFormattedCitation":"(Putri &amp; Septianti, 2020)"},"properties":{"noteIndex":0},"schema":"https://github.com/citation-style-language/schema/raw/master/csl-citation.json"}</w:instrText>
      </w:r>
      <w:r w:rsidRPr="00920A33">
        <w:rPr>
          <w:lang w:val="id-ID"/>
        </w:rPr>
        <w:fldChar w:fldCharType="separate"/>
      </w:r>
      <w:r w:rsidRPr="00920A33">
        <w:rPr>
          <w:noProof/>
          <w:lang w:val="id-ID"/>
        </w:rPr>
        <w:t>(Putri &amp; Septianti, 2020)</w:t>
      </w:r>
      <w:r w:rsidRPr="00920A33">
        <w:rPr>
          <w:lang w:val="id-ID"/>
        </w:rPr>
        <w:fldChar w:fldCharType="end"/>
      </w:r>
      <w:r w:rsidRPr="00920A33">
        <w:rPr>
          <w:lang w:val="id-ID"/>
        </w:rPr>
        <w:t xml:space="preserve">, menunjukan bahwa hasil </w:t>
      </w:r>
      <w:r w:rsidRPr="002F3370">
        <w:rPr>
          <w:i/>
          <w:lang w:val="id-ID"/>
        </w:rPr>
        <w:t>Return On Assets</w:t>
      </w:r>
      <w:r w:rsidRPr="00920A33">
        <w:rPr>
          <w:lang w:val="id-ID"/>
        </w:rPr>
        <w:t xml:space="preserve"> berpengaruh positif pada harga saham perusahaan. Penelitian yang sama digarap oleh </w:t>
      </w:r>
      <w:r w:rsidRPr="00920A33">
        <w:rPr>
          <w:lang w:val="id-ID"/>
        </w:rPr>
        <w:fldChar w:fldCharType="begin" w:fldLock="1"/>
      </w:r>
      <w:r>
        <w:rPr>
          <w:lang w:val="id-ID"/>
        </w:rPr>
        <w:instrText>ADDIN CSL_CITATION {"citationItems":[{"id":"ITEM-1","itemData":{"ISSN":"2503-4790","author":[{"dropping-particle":"","family":"Nurlia","given":"Nurlia","non-dropping-particle":"","parse-names":false,"suffix":""},{"dropping-particle":"","family":"Juwari","given":"Juwari","non-dropping-particle":"","parse-names":false,"suffix":""}],"container-title":"Jurnal Geo Ekonomi","id":"ITEM-1","issue":"1","issued":{"date-parts":[["2019"]]},"page":"57-73","title":"Pengaruh Return On Asset, Return On Equity, Earning Per Share Dan Current Ratio Terhadap Harga Saham Pada Perusahaan Sub Sektor Otomotif Dan Komponen Yang Terdaftar Di Bursa Efek Indonesia","type":"article-journal","volume":"10"},"uris":["http://www.mendeley.com/documents/?uuid=82cd0385-ecf0-4375-ab2e-2ce41b1a461c"]}],"mendeley":{"formattedCitation":"(Nurlia &amp; Juwari, 2019)","plainTextFormattedCitation":"(Nurlia &amp; Juwari, 2019)","previouslyFormattedCitation":"(Nurlia &amp; Juwari, 2019)"},"properties":{"noteIndex":0},"schema":"https://github.com/citation-style-language/schema/raw/master/csl-citation.json"}</w:instrText>
      </w:r>
      <w:r w:rsidRPr="00920A33">
        <w:rPr>
          <w:lang w:val="id-ID"/>
        </w:rPr>
        <w:fldChar w:fldCharType="separate"/>
      </w:r>
      <w:r w:rsidRPr="00920A33">
        <w:rPr>
          <w:noProof/>
          <w:lang w:val="id-ID"/>
        </w:rPr>
        <w:t>(Nurlia &amp; Juwari, 2019)</w:t>
      </w:r>
      <w:r w:rsidRPr="00920A33">
        <w:rPr>
          <w:lang w:val="id-ID"/>
        </w:rPr>
        <w:fldChar w:fldCharType="end"/>
      </w:r>
      <w:r w:rsidRPr="00920A33">
        <w:rPr>
          <w:lang w:val="id-ID"/>
        </w:rPr>
        <w:t xml:space="preserve">, tetapi menampilkan hasil yang berbeda, yaitu </w:t>
      </w:r>
      <w:r w:rsidRPr="002F3370">
        <w:rPr>
          <w:i/>
          <w:lang w:val="id-ID"/>
        </w:rPr>
        <w:t>Return On Assets</w:t>
      </w:r>
      <w:r w:rsidRPr="00920A33">
        <w:rPr>
          <w:lang w:val="id-ID"/>
        </w:rPr>
        <w:t xml:space="preserve"> diketahui berpengaruh negatif pada harga saham.</w:t>
      </w:r>
      <w:r w:rsidR="00CD5BA4">
        <w:t xml:space="preserve"> </w:t>
      </w:r>
      <w:r w:rsidRPr="002F3370">
        <w:rPr>
          <w:i/>
          <w:lang w:val="id-ID"/>
        </w:rPr>
        <w:t>Return On Equity</w:t>
      </w:r>
      <w:r w:rsidRPr="00920A33">
        <w:rPr>
          <w:lang w:val="id-ID"/>
        </w:rPr>
        <w:t xml:space="preserve"> (ROE) bisa juga diartikan sebagai rasio yang meninjau sejauh mana perusahaan mempergunakan sumber dayanya untuk memberikan keuntugan terhadap ekuitas perhitungan </w:t>
      </w:r>
      <w:r w:rsidRPr="002F3370">
        <w:rPr>
          <w:i/>
          <w:lang w:val="id-ID"/>
        </w:rPr>
        <w:t>Return On Equity</w:t>
      </w:r>
      <w:r w:rsidRPr="00920A33">
        <w:rPr>
          <w:lang w:val="id-ID"/>
        </w:rPr>
        <w:t xml:space="preserve">  secara langsung berdampak pada harga saham perusahaan. Analisis yang sama juga sudah dilakukan oleh </w:t>
      </w:r>
      <w:r w:rsidRPr="00920A33">
        <w:rPr>
          <w:lang w:val="id-ID"/>
        </w:rPr>
        <w:fldChar w:fldCharType="begin" w:fldLock="1"/>
      </w:r>
      <w:r>
        <w:rPr>
          <w:lang w:val="id-ID"/>
        </w:rPr>
        <w:instrText>ADDIN CSL_CITATION {"citationItems":[{"id":"ITEM-1","itemData":{"ISSN":"2503-4790","author":[{"dropping-particle":"","family":"Nurlia","given":"Nurlia","non-dropping-particle":"","parse-names":false,"suffix":""},{"dropping-particle":"","family":"Juwari","given":"Juwari","non-dropping-particle":"","parse-names":false,"suffix":""}],"container-title":"Jurnal Geo Ekonomi","id":"ITEM-1","issue":"1","issued":{"date-parts":[["2019"]]},"page":"57-73","title":"Pengaruh Return On Asset, Return On Equity, Earning Per Share Dan Current Ratio Terhadap Harga Saham Pada Perusahaan Sub Sektor Otomotif Dan Komponen Yang Terdaftar Di Bursa Efek Indonesia","type":"article-journal","volume":"10"},"uris":["http://www.mendeley.com/documents/?uuid=82cd0385-ecf0-4375-ab2e-2ce41b1a461c"]}],"mendeley":{"formattedCitation":"(Nurlia &amp; Juwari, 2019)","plainTextFormattedCitation":"(Nurlia &amp; Juwari, 2019)","previouslyFormattedCitation":"(Nurlia &amp; Juwari, 2019)"},"properties":{"noteIndex":0},"schema":"https://github.com/citation-style-language/schema/raw/master/csl-citation.json"}</w:instrText>
      </w:r>
      <w:r w:rsidRPr="00920A33">
        <w:rPr>
          <w:lang w:val="id-ID"/>
        </w:rPr>
        <w:fldChar w:fldCharType="separate"/>
      </w:r>
      <w:r w:rsidRPr="00920A33">
        <w:rPr>
          <w:noProof/>
          <w:lang w:val="id-ID"/>
        </w:rPr>
        <w:t>(Nurlia &amp; Juwari, 2019)</w:t>
      </w:r>
      <w:r w:rsidRPr="00920A33">
        <w:rPr>
          <w:lang w:val="id-ID"/>
        </w:rPr>
        <w:fldChar w:fldCharType="end"/>
      </w:r>
      <w:r w:rsidRPr="00920A33">
        <w:rPr>
          <w:lang w:val="id-ID"/>
        </w:rPr>
        <w:t xml:space="preserve"> yang menerangkan bahwa </w:t>
      </w:r>
      <w:r w:rsidRPr="002F3370">
        <w:rPr>
          <w:i/>
          <w:lang w:val="id-ID"/>
        </w:rPr>
        <w:t>Return On Equity</w:t>
      </w:r>
      <w:r w:rsidRPr="00920A33">
        <w:rPr>
          <w:lang w:val="id-ID"/>
        </w:rPr>
        <w:t xml:space="preserve"> berpengaruh positif pada harga saham. Hal itu berlawanan dengan penelitian yang dilakukan oleh </w:t>
      </w:r>
      <w:r w:rsidRPr="00920A33">
        <w:rPr>
          <w:lang w:val="id-ID"/>
        </w:rPr>
        <w:fldChar w:fldCharType="begin" w:fldLock="1"/>
      </w:r>
      <w:r>
        <w:rPr>
          <w:lang w:val="id-ID"/>
        </w:rPr>
        <w:instrText>ADDIN CSL_CITATION {"citationItems":[{"id":"ITEM-1","itemData":{"ISSN":"2613-8956","author":[{"dropping-particle":"","family":"Putri","given":"Nyayu Khairani","non-dropping-particle":"","parse-names":false,"suffix":""},{"dropping-particle":"","family":"Septianti","given":"Dian","non-dropping-particle":"","parse-names":false,"suffix":""}],"container-title":"Jurnal Akuntansi Dan Bisnis","id":"ITEM-1","issue":"2","issued":{"date-parts":[["2020"]]},"page":"145-155","title":"Pengaruh Return on Assets Return on Equity Debt To Equity Ratio Dan Book Value Per Share Terhadap Harga Saham","type":"article-journal","volume":"5"},"uris":["http://www.mendeley.com/documents/?uuid=6bb206b2-0105-4a9a-9f0a-7be0f9e89472"]}],"mendeley":{"formattedCitation":"(Putri &amp; Septianti, 2020)","plainTextFormattedCitation":"(Putri &amp; Septianti, 2020)","previouslyFormattedCitation":"(Putri &amp; Septianti, 2020)"},"properties":{"noteIndex":0},"schema":"https://github.com/citation-style-language/schema/raw/master/csl-citation.json"}</w:instrText>
      </w:r>
      <w:r w:rsidRPr="00920A33">
        <w:rPr>
          <w:lang w:val="id-ID"/>
        </w:rPr>
        <w:fldChar w:fldCharType="separate"/>
      </w:r>
      <w:r w:rsidRPr="00920A33">
        <w:rPr>
          <w:noProof/>
          <w:lang w:val="id-ID"/>
        </w:rPr>
        <w:t>(Putri &amp; Septianti, 2020)</w:t>
      </w:r>
      <w:r w:rsidRPr="00920A33">
        <w:rPr>
          <w:lang w:val="id-ID"/>
        </w:rPr>
        <w:fldChar w:fldCharType="end"/>
      </w:r>
      <w:r w:rsidRPr="00920A33">
        <w:rPr>
          <w:lang w:val="id-ID"/>
        </w:rPr>
        <w:t xml:space="preserve">, dimana dalam penelitiannya menerangkan bahwa </w:t>
      </w:r>
      <w:r w:rsidRPr="002F3370">
        <w:rPr>
          <w:i/>
          <w:lang w:val="id-ID"/>
        </w:rPr>
        <w:t>Return On Equity</w:t>
      </w:r>
      <w:r w:rsidRPr="00920A33">
        <w:rPr>
          <w:lang w:val="id-ID"/>
        </w:rPr>
        <w:t xml:space="preserve"> berpengaruh negatif pada harga saham perusahaan.</w:t>
      </w:r>
      <w:r>
        <w:rPr>
          <w:lang w:val="id-ID"/>
        </w:rPr>
        <w:t xml:space="preserve"> </w:t>
      </w:r>
      <w:r w:rsidRPr="00920A33">
        <w:rPr>
          <w:lang w:val="id-ID"/>
        </w:rPr>
        <w:t xml:space="preserve">Ada beberapa perusahaan yang ROA dan ROE nya tumbuh namun harga sahamnya menurun, menurut statistik perusahaan bank yang terdaftar di Bursa Efek Indonesia tahun 2019 - 2022. </w:t>
      </w:r>
    </w:p>
    <w:p w14:paraId="3E193777" w14:textId="77777777" w:rsidR="00CF3A6F" w:rsidRDefault="00CF3A6F" w:rsidP="00CF2094">
      <w:pPr>
        <w:widowControl w:val="0"/>
        <w:autoSpaceDE w:val="0"/>
        <w:rPr>
          <w:b/>
        </w:rPr>
      </w:pPr>
      <w:r>
        <w:rPr>
          <w:b/>
        </w:rPr>
        <w:t>METOD</w:t>
      </w:r>
      <w:r w:rsidR="00FC32F3">
        <w:rPr>
          <w:b/>
        </w:rPr>
        <w:t>E</w:t>
      </w:r>
      <w:r>
        <w:rPr>
          <w:b/>
        </w:rPr>
        <w:t xml:space="preserve"> PENELITIAN</w:t>
      </w:r>
    </w:p>
    <w:p w14:paraId="68719CF4" w14:textId="77777777" w:rsidR="00747BE8" w:rsidRDefault="00747BE8" w:rsidP="00CF2094">
      <w:pPr>
        <w:widowControl w:val="0"/>
        <w:autoSpaceDE w:val="0"/>
      </w:pPr>
    </w:p>
    <w:p w14:paraId="55B63148" w14:textId="77777777" w:rsidR="00226D31" w:rsidRDefault="00226D31" w:rsidP="006141FA">
      <w:pPr>
        <w:widowControl w:val="0"/>
        <w:autoSpaceDE w:val="0"/>
        <w:ind w:firstLine="567"/>
        <w:rPr>
          <w:color w:val="000000"/>
        </w:rPr>
      </w:pPr>
      <w:r w:rsidRPr="00712C07">
        <w:rPr>
          <w:color w:val="000000"/>
        </w:rPr>
        <w:t>Riset ini terpusat pada perusahaan sektor perbankan yang terdaftar di bursa efek Indonesia. Metode penelitian yang digunakan dalam penelitian ini adalah deskriptif kuantitatif, Populasidalam penelitian ini berjumlah 21 perusahaan dan sample yang digunakan yaitu 10 perusahaan. Adapun metode penarikan sample sebagai berikut:</w:t>
      </w:r>
    </w:p>
    <w:p w14:paraId="10481A11" w14:textId="77777777" w:rsidR="004A7C89" w:rsidRPr="00712C07" w:rsidRDefault="004A7C89" w:rsidP="00226D31">
      <w:pPr>
        <w:widowControl w:val="0"/>
        <w:autoSpaceDE w:val="0"/>
        <w:ind w:firstLine="426"/>
        <w:rPr>
          <w:color w:val="000000"/>
        </w:rPr>
      </w:pPr>
    </w:p>
    <w:p w14:paraId="524037CA" w14:textId="0481BF4E" w:rsidR="00226D31" w:rsidRPr="004A7C89" w:rsidRDefault="00226D31" w:rsidP="00A8362E">
      <w:pPr>
        <w:pStyle w:val="BodyText"/>
        <w:tabs>
          <w:tab w:val="left" w:pos="870"/>
          <w:tab w:val="left" w:pos="4485"/>
        </w:tabs>
        <w:jc w:val="center"/>
        <w:rPr>
          <w:sz w:val="18"/>
          <w:szCs w:val="18"/>
        </w:rPr>
      </w:pPr>
      <w:r w:rsidRPr="004A7C89">
        <w:rPr>
          <w:sz w:val="18"/>
          <w:szCs w:val="18"/>
        </w:rPr>
        <w:t>Tabel</w:t>
      </w:r>
      <w:r w:rsidRPr="004A7C89">
        <w:rPr>
          <w:spacing w:val="-5"/>
          <w:sz w:val="18"/>
          <w:szCs w:val="18"/>
        </w:rPr>
        <w:t xml:space="preserve"> </w:t>
      </w:r>
      <w:r w:rsidRPr="004A7C89">
        <w:rPr>
          <w:sz w:val="18"/>
          <w:szCs w:val="18"/>
        </w:rPr>
        <w:t>1.</w:t>
      </w:r>
      <w:r w:rsidRPr="004A7C89">
        <w:rPr>
          <w:spacing w:val="-4"/>
          <w:sz w:val="18"/>
          <w:szCs w:val="18"/>
        </w:rPr>
        <w:t xml:space="preserve"> </w:t>
      </w:r>
      <w:r w:rsidRPr="004A7C89">
        <w:rPr>
          <w:sz w:val="18"/>
          <w:szCs w:val="18"/>
        </w:rPr>
        <w:t>Metode</w:t>
      </w:r>
      <w:r w:rsidRPr="004A7C89">
        <w:rPr>
          <w:spacing w:val="-4"/>
          <w:sz w:val="18"/>
          <w:szCs w:val="18"/>
        </w:rPr>
        <w:t xml:space="preserve"> </w:t>
      </w:r>
      <w:r w:rsidRPr="004A7C89">
        <w:rPr>
          <w:sz w:val="18"/>
          <w:szCs w:val="18"/>
        </w:rPr>
        <w:t>Penarikan</w:t>
      </w:r>
      <w:r w:rsidRPr="004A7C89">
        <w:rPr>
          <w:spacing w:val="-6"/>
          <w:sz w:val="18"/>
          <w:szCs w:val="18"/>
        </w:rPr>
        <w:t xml:space="preserve"> </w:t>
      </w:r>
      <w:r w:rsidRPr="004A7C89">
        <w:rPr>
          <w:spacing w:val="-2"/>
          <w:sz w:val="18"/>
          <w:szCs w:val="18"/>
        </w:rPr>
        <w:t>Sample</w:t>
      </w:r>
    </w:p>
    <w:tbl>
      <w:tblPr>
        <w:tblW w:w="4113" w:type="dxa"/>
        <w:tblInd w:w="136" w:type="dxa"/>
        <w:tblLayout w:type="fixed"/>
        <w:tblCellMar>
          <w:left w:w="0" w:type="dxa"/>
          <w:right w:w="0" w:type="dxa"/>
        </w:tblCellMar>
        <w:tblLook w:val="01E0" w:firstRow="1" w:lastRow="1" w:firstColumn="1" w:lastColumn="1" w:noHBand="0" w:noVBand="0"/>
      </w:tblPr>
      <w:tblGrid>
        <w:gridCol w:w="424"/>
        <w:gridCol w:w="3126"/>
        <w:gridCol w:w="563"/>
      </w:tblGrid>
      <w:tr w:rsidR="00226D31" w:rsidRPr="004A7C89" w14:paraId="0233E0B5" w14:textId="77777777" w:rsidTr="006A68DC">
        <w:trPr>
          <w:trHeight w:val="220"/>
        </w:trPr>
        <w:tc>
          <w:tcPr>
            <w:tcW w:w="424" w:type="dxa"/>
            <w:tcBorders>
              <w:top w:val="single" w:sz="4" w:space="0" w:color="auto"/>
              <w:bottom w:val="single" w:sz="4" w:space="0" w:color="000000"/>
            </w:tcBorders>
          </w:tcPr>
          <w:p w14:paraId="04A92FA8" w14:textId="77777777" w:rsidR="00226D31" w:rsidRPr="004A7C89" w:rsidRDefault="00226D31" w:rsidP="006A68DC">
            <w:pPr>
              <w:pStyle w:val="TableParagraph"/>
              <w:ind w:left="11" w:right="37"/>
              <w:rPr>
                <w:sz w:val="18"/>
                <w:szCs w:val="18"/>
              </w:rPr>
            </w:pPr>
            <w:r w:rsidRPr="004A7C89">
              <w:rPr>
                <w:spacing w:val="-5"/>
                <w:sz w:val="18"/>
                <w:szCs w:val="18"/>
              </w:rPr>
              <w:t>No.</w:t>
            </w:r>
          </w:p>
        </w:tc>
        <w:tc>
          <w:tcPr>
            <w:tcW w:w="3126" w:type="dxa"/>
            <w:tcBorders>
              <w:top w:val="single" w:sz="4" w:space="0" w:color="auto"/>
              <w:bottom w:val="single" w:sz="4" w:space="0" w:color="000000"/>
            </w:tcBorders>
          </w:tcPr>
          <w:p w14:paraId="6995E964" w14:textId="77777777" w:rsidR="00226D31" w:rsidRPr="004A7C89" w:rsidRDefault="00226D31" w:rsidP="006A68DC">
            <w:pPr>
              <w:pStyle w:val="TableParagraph"/>
              <w:ind w:left="86"/>
              <w:rPr>
                <w:sz w:val="18"/>
                <w:szCs w:val="18"/>
              </w:rPr>
            </w:pPr>
            <w:r w:rsidRPr="004A7C89">
              <w:rPr>
                <w:spacing w:val="-2"/>
                <w:sz w:val="18"/>
                <w:szCs w:val="18"/>
              </w:rPr>
              <w:t>Kriteria</w:t>
            </w:r>
          </w:p>
        </w:tc>
        <w:tc>
          <w:tcPr>
            <w:tcW w:w="563" w:type="dxa"/>
            <w:tcBorders>
              <w:top w:val="single" w:sz="4" w:space="0" w:color="auto"/>
              <w:bottom w:val="single" w:sz="4" w:space="0" w:color="000000"/>
            </w:tcBorders>
          </w:tcPr>
          <w:p w14:paraId="3727855C" w14:textId="77777777" w:rsidR="00226D31" w:rsidRPr="004A7C89" w:rsidRDefault="00226D31" w:rsidP="006A68DC">
            <w:pPr>
              <w:pStyle w:val="TableParagraph"/>
              <w:ind w:right="137"/>
              <w:jc w:val="right"/>
              <w:rPr>
                <w:sz w:val="18"/>
                <w:szCs w:val="18"/>
              </w:rPr>
            </w:pPr>
            <w:r w:rsidRPr="004A7C89">
              <w:rPr>
                <w:spacing w:val="-5"/>
                <w:sz w:val="18"/>
                <w:szCs w:val="18"/>
              </w:rPr>
              <w:t>Jml</w:t>
            </w:r>
          </w:p>
        </w:tc>
      </w:tr>
      <w:tr w:rsidR="00226D31" w:rsidRPr="004A7C89" w14:paraId="5C8798B9" w14:textId="77777777" w:rsidTr="006A68DC">
        <w:trPr>
          <w:trHeight w:val="838"/>
        </w:trPr>
        <w:tc>
          <w:tcPr>
            <w:tcW w:w="424" w:type="dxa"/>
            <w:tcBorders>
              <w:top w:val="single" w:sz="4" w:space="0" w:color="000000"/>
              <w:bottom w:val="single" w:sz="4" w:space="0" w:color="auto"/>
            </w:tcBorders>
          </w:tcPr>
          <w:p w14:paraId="1B4041C5" w14:textId="77777777" w:rsidR="00226D31" w:rsidRPr="004A7C89" w:rsidRDefault="00226D31" w:rsidP="006A68DC">
            <w:pPr>
              <w:pStyle w:val="TableParagraph"/>
              <w:jc w:val="left"/>
              <w:rPr>
                <w:sz w:val="18"/>
                <w:szCs w:val="18"/>
              </w:rPr>
            </w:pPr>
          </w:p>
          <w:p w14:paraId="0B27D706" w14:textId="77777777" w:rsidR="00226D31" w:rsidRPr="004A7C89" w:rsidRDefault="00226D31" w:rsidP="006A68DC">
            <w:pPr>
              <w:pStyle w:val="TableParagraph"/>
              <w:ind w:left="37" w:right="26"/>
              <w:rPr>
                <w:sz w:val="18"/>
                <w:szCs w:val="18"/>
              </w:rPr>
            </w:pPr>
            <w:r w:rsidRPr="004A7C89">
              <w:rPr>
                <w:spacing w:val="-10"/>
                <w:sz w:val="18"/>
                <w:szCs w:val="18"/>
              </w:rPr>
              <w:t>1</w:t>
            </w:r>
          </w:p>
        </w:tc>
        <w:tc>
          <w:tcPr>
            <w:tcW w:w="3126" w:type="dxa"/>
            <w:tcBorders>
              <w:top w:val="single" w:sz="4" w:space="0" w:color="000000"/>
              <w:bottom w:val="single" w:sz="4" w:space="0" w:color="auto"/>
            </w:tcBorders>
          </w:tcPr>
          <w:p w14:paraId="1270AAFE" w14:textId="77777777" w:rsidR="00226D31" w:rsidRPr="004A7C89" w:rsidRDefault="00226D31" w:rsidP="006A68DC">
            <w:pPr>
              <w:pStyle w:val="TableParagraph"/>
              <w:tabs>
                <w:tab w:val="left" w:pos="1270"/>
                <w:tab w:val="left" w:pos="2317"/>
              </w:tabs>
              <w:ind w:left="80"/>
              <w:jc w:val="both"/>
              <w:rPr>
                <w:sz w:val="18"/>
                <w:szCs w:val="18"/>
              </w:rPr>
            </w:pPr>
            <w:r w:rsidRPr="004A7C89">
              <w:rPr>
                <w:spacing w:val="-2"/>
                <w:sz w:val="18"/>
                <w:szCs w:val="18"/>
              </w:rPr>
              <w:t>Perusahaan</w:t>
            </w:r>
            <w:r w:rsidRPr="004A7C89">
              <w:rPr>
                <w:sz w:val="18"/>
                <w:szCs w:val="18"/>
              </w:rPr>
              <w:tab/>
            </w:r>
            <w:r w:rsidRPr="004A7C89">
              <w:rPr>
                <w:spacing w:val="-2"/>
                <w:sz w:val="18"/>
                <w:szCs w:val="18"/>
              </w:rPr>
              <w:t>se</w:t>
            </w:r>
            <w:r w:rsidRPr="004A7C89">
              <w:rPr>
                <w:spacing w:val="-2"/>
                <w:sz w:val="18"/>
                <w:szCs w:val="18"/>
                <w:lang w:val="en-US"/>
              </w:rPr>
              <w:t>k</w:t>
            </w:r>
            <w:r w:rsidRPr="004A7C89">
              <w:rPr>
                <w:spacing w:val="-2"/>
                <w:sz w:val="18"/>
                <w:szCs w:val="18"/>
              </w:rPr>
              <w:t>tor</w:t>
            </w:r>
            <w:r w:rsidRPr="004A7C89">
              <w:rPr>
                <w:spacing w:val="-2"/>
                <w:sz w:val="18"/>
                <w:szCs w:val="18"/>
                <w:lang w:val="en-US"/>
              </w:rPr>
              <w:t xml:space="preserve"> </w:t>
            </w:r>
            <w:r w:rsidRPr="004A7C89">
              <w:rPr>
                <w:sz w:val="18"/>
                <w:szCs w:val="18"/>
                <w:lang w:val="en-US"/>
              </w:rPr>
              <w:t>perbankan</w:t>
            </w:r>
            <w:r w:rsidRPr="004A7C89">
              <w:rPr>
                <w:i/>
                <w:spacing w:val="72"/>
                <w:sz w:val="18"/>
                <w:szCs w:val="18"/>
              </w:rPr>
              <w:t xml:space="preserve"> </w:t>
            </w:r>
            <w:r w:rsidRPr="004A7C89">
              <w:rPr>
                <w:sz w:val="18"/>
                <w:szCs w:val="18"/>
                <w:lang w:val="en-US"/>
              </w:rPr>
              <w:t>yang</w:t>
            </w:r>
            <w:r w:rsidRPr="004A7C89">
              <w:rPr>
                <w:spacing w:val="74"/>
                <w:sz w:val="18"/>
                <w:szCs w:val="18"/>
              </w:rPr>
              <w:t xml:space="preserve"> </w:t>
            </w:r>
            <w:r w:rsidRPr="004A7C89">
              <w:rPr>
                <w:sz w:val="18"/>
                <w:szCs w:val="18"/>
              </w:rPr>
              <w:t>terdaftar</w:t>
            </w:r>
            <w:r w:rsidRPr="004A7C89">
              <w:rPr>
                <w:spacing w:val="73"/>
                <w:sz w:val="18"/>
                <w:szCs w:val="18"/>
              </w:rPr>
              <w:t xml:space="preserve"> </w:t>
            </w:r>
            <w:r w:rsidRPr="004A7C89">
              <w:rPr>
                <w:sz w:val="18"/>
                <w:szCs w:val="18"/>
              </w:rPr>
              <w:t>pada</w:t>
            </w:r>
            <w:r w:rsidRPr="004A7C89">
              <w:rPr>
                <w:spacing w:val="72"/>
                <w:sz w:val="18"/>
                <w:szCs w:val="18"/>
              </w:rPr>
              <w:t xml:space="preserve"> </w:t>
            </w:r>
            <w:r w:rsidRPr="004A7C89">
              <w:rPr>
                <w:spacing w:val="-4"/>
                <w:sz w:val="18"/>
                <w:szCs w:val="18"/>
              </w:rPr>
              <w:t>Bursa</w:t>
            </w:r>
            <w:r w:rsidRPr="004A7C89">
              <w:rPr>
                <w:spacing w:val="-4"/>
                <w:sz w:val="18"/>
                <w:szCs w:val="18"/>
                <w:lang w:val="en-US"/>
              </w:rPr>
              <w:t xml:space="preserve"> </w:t>
            </w:r>
            <w:r w:rsidRPr="004A7C89">
              <w:rPr>
                <w:spacing w:val="69"/>
                <w:sz w:val="18"/>
                <w:szCs w:val="18"/>
              </w:rPr>
              <w:t xml:space="preserve"> </w:t>
            </w:r>
            <w:r w:rsidRPr="004A7C89">
              <w:rPr>
                <w:sz w:val="18"/>
                <w:szCs w:val="18"/>
              </w:rPr>
              <w:t>Efek</w:t>
            </w:r>
            <w:r w:rsidRPr="004A7C89">
              <w:rPr>
                <w:spacing w:val="4"/>
                <w:sz w:val="18"/>
                <w:szCs w:val="18"/>
                <w:u w:val="single"/>
              </w:rPr>
              <w:t xml:space="preserve"> </w:t>
            </w:r>
            <w:r w:rsidRPr="004A7C89">
              <w:rPr>
                <w:sz w:val="18"/>
                <w:szCs w:val="18"/>
              </w:rPr>
              <w:t xml:space="preserve">Indonesia </w:t>
            </w:r>
            <w:r w:rsidRPr="004A7C89">
              <w:rPr>
                <w:spacing w:val="-4"/>
                <w:sz w:val="18"/>
                <w:szCs w:val="18"/>
              </w:rPr>
              <w:t>(BEI)</w:t>
            </w:r>
            <w:r w:rsidRPr="004A7C89">
              <w:rPr>
                <w:sz w:val="18"/>
                <w:szCs w:val="18"/>
              </w:rPr>
              <w:tab/>
            </w:r>
          </w:p>
        </w:tc>
        <w:tc>
          <w:tcPr>
            <w:tcW w:w="563" w:type="dxa"/>
            <w:tcBorders>
              <w:top w:val="single" w:sz="4" w:space="0" w:color="000000"/>
              <w:bottom w:val="single" w:sz="4" w:space="0" w:color="auto"/>
            </w:tcBorders>
          </w:tcPr>
          <w:p w14:paraId="075C9364" w14:textId="77777777" w:rsidR="00226D31" w:rsidRPr="004A7C89" w:rsidRDefault="00226D31" w:rsidP="006A68DC">
            <w:pPr>
              <w:pStyle w:val="TableParagraph"/>
              <w:jc w:val="left"/>
              <w:rPr>
                <w:sz w:val="18"/>
                <w:szCs w:val="18"/>
              </w:rPr>
            </w:pPr>
          </w:p>
          <w:p w14:paraId="058F10E3" w14:textId="77777777" w:rsidR="00226D31" w:rsidRPr="004A7C89" w:rsidRDefault="00226D31" w:rsidP="006A68DC">
            <w:pPr>
              <w:pStyle w:val="TableParagraph"/>
              <w:ind w:right="202"/>
              <w:jc w:val="right"/>
              <w:rPr>
                <w:sz w:val="18"/>
                <w:szCs w:val="18"/>
              </w:rPr>
            </w:pPr>
            <w:r w:rsidRPr="004A7C89">
              <w:rPr>
                <w:spacing w:val="-5"/>
                <w:sz w:val="18"/>
                <w:szCs w:val="18"/>
                <w:lang w:val="en-US"/>
              </w:rPr>
              <w:t>21</w:t>
            </w:r>
          </w:p>
        </w:tc>
      </w:tr>
      <w:tr w:rsidR="00226D31" w:rsidRPr="004A7C89" w14:paraId="3D0F8D93" w14:textId="77777777" w:rsidTr="006A68DC">
        <w:trPr>
          <w:trHeight w:val="963"/>
        </w:trPr>
        <w:tc>
          <w:tcPr>
            <w:tcW w:w="424" w:type="dxa"/>
            <w:tcBorders>
              <w:top w:val="single" w:sz="4" w:space="0" w:color="auto"/>
              <w:bottom w:val="single" w:sz="4" w:space="0" w:color="auto"/>
            </w:tcBorders>
          </w:tcPr>
          <w:p w14:paraId="58FADD41" w14:textId="77777777" w:rsidR="00226D31" w:rsidRPr="004A7C89" w:rsidRDefault="00226D31" w:rsidP="006A68DC">
            <w:pPr>
              <w:pStyle w:val="TableParagraph"/>
              <w:jc w:val="left"/>
              <w:rPr>
                <w:sz w:val="18"/>
                <w:szCs w:val="18"/>
              </w:rPr>
            </w:pPr>
          </w:p>
          <w:p w14:paraId="2B06DD9B" w14:textId="77777777" w:rsidR="00226D31" w:rsidRPr="004A7C89" w:rsidRDefault="00226D31" w:rsidP="006A68DC">
            <w:pPr>
              <w:pStyle w:val="TableParagraph"/>
              <w:jc w:val="left"/>
              <w:rPr>
                <w:sz w:val="18"/>
                <w:szCs w:val="18"/>
              </w:rPr>
            </w:pPr>
          </w:p>
          <w:p w14:paraId="417058BA" w14:textId="77777777" w:rsidR="00226D31" w:rsidRPr="004A7C89" w:rsidRDefault="00226D31" w:rsidP="006A68DC">
            <w:pPr>
              <w:pStyle w:val="TableParagraph"/>
              <w:ind w:left="37" w:right="26"/>
              <w:rPr>
                <w:sz w:val="18"/>
                <w:szCs w:val="18"/>
              </w:rPr>
            </w:pPr>
            <w:r w:rsidRPr="004A7C89">
              <w:rPr>
                <w:spacing w:val="-10"/>
                <w:sz w:val="18"/>
                <w:szCs w:val="18"/>
              </w:rPr>
              <w:t>2</w:t>
            </w:r>
          </w:p>
        </w:tc>
        <w:tc>
          <w:tcPr>
            <w:tcW w:w="3126" w:type="dxa"/>
            <w:tcBorders>
              <w:top w:val="single" w:sz="4" w:space="0" w:color="auto"/>
              <w:bottom w:val="single" w:sz="4" w:space="0" w:color="auto"/>
            </w:tcBorders>
          </w:tcPr>
          <w:p w14:paraId="0E08B41C" w14:textId="77777777" w:rsidR="00226D31" w:rsidRPr="004A7C89" w:rsidRDefault="00226D31" w:rsidP="006A68DC">
            <w:pPr>
              <w:pStyle w:val="TableParagraph"/>
              <w:ind w:left="80"/>
              <w:jc w:val="both"/>
              <w:rPr>
                <w:sz w:val="18"/>
                <w:szCs w:val="18"/>
              </w:rPr>
            </w:pPr>
            <w:r w:rsidRPr="004A7C89">
              <w:rPr>
                <w:sz w:val="18"/>
                <w:szCs w:val="18"/>
              </w:rPr>
              <w:t xml:space="preserve">Perusahaan </w:t>
            </w:r>
            <w:r w:rsidRPr="004A7C89">
              <w:rPr>
                <w:sz w:val="18"/>
                <w:szCs w:val="18"/>
                <w:lang w:val="en-US"/>
              </w:rPr>
              <w:t>sektor perbankan</w:t>
            </w:r>
            <w:r w:rsidRPr="004A7C89">
              <w:rPr>
                <w:i/>
                <w:sz w:val="18"/>
                <w:szCs w:val="18"/>
              </w:rPr>
              <w:t xml:space="preserve"> </w:t>
            </w:r>
            <w:r w:rsidRPr="004A7C89">
              <w:rPr>
                <w:sz w:val="18"/>
                <w:szCs w:val="18"/>
              </w:rPr>
              <w:t xml:space="preserve">yang </w:t>
            </w:r>
            <w:r w:rsidRPr="004A7C89">
              <w:rPr>
                <w:sz w:val="18"/>
                <w:szCs w:val="18"/>
                <w:lang w:val="en-US"/>
              </w:rPr>
              <w:t xml:space="preserve">tidak </w:t>
            </w:r>
            <w:r w:rsidRPr="004A7C89">
              <w:rPr>
                <w:sz w:val="18"/>
                <w:szCs w:val="18"/>
              </w:rPr>
              <w:t>mempublikasikan laporan keuangan tahunan</w:t>
            </w:r>
            <w:r w:rsidRPr="004A7C89">
              <w:rPr>
                <w:spacing w:val="30"/>
                <w:sz w:val="18"/>
                <w:szCs w:val="18"/>
              </w:rPr>
              <w:t xml:space="preserve"> </w:t>
            </w:r>
            <w:r w:rsidRPr="004A7C89">
              <w:rPr>
                <w:sz w:val="18"/>
                <w:szCs w:val="18"/>
              </w:rPr>
              <w:t>secara</w:t>
            </w:r>
            <w:r w:rsidRPr="004A7C89">
              <w:rPr>
                <w:spacing w:val="33"/>
                <w:sz w:val="18"/>
                <w:szCs w:val="18"/>
              </w:rPr>
              <w:t xml:space="preserve"> </w:t>
            </w:r>
            <w:r w:rsidRPr="004A7C89">
              <w:rPr>
                <w:sz w:val="18"/>
                <w:szCs w:val="18"/>
              </w:rPr>
              <w:t>lengkap</w:t>
            </w:r>
            <w:r w:rsidRPr="004A7C89">
              <w:rPr>
                <w:spacing w:val="30"/>
                <w:sz w:val="18"/>
                <w:szCs w:val="18"/>
              </w:rPr>
              <w:t xml:space="preserve"> </w:t>
            </w:r>
            <w:r w:rsidRPr="004A7C89">
              <w:rPr>
                <w:sz w:val="18"/>
                <w:szCs w:val="18"/>
              </w:rPr>
              <w:t>periode</w:t>
            </w:r>
            <w:r w:rsidRPr="004A7C89">
              <w:rPr>
                <w:spacing w:val="28"/>
                <w:sz w:val="18"/>
                <w:szCs w:val="18"/>
              </w:rPr>
              <w:t xml:space="preserve"> </w:t>
            </w:r>
            <w:r w:rsidRPr="004A7C89">
              <w:rPr>
                <w:spacing w:val="-4"/>
                <w:sz w:val="18"/>
                <w:szCs w:val="18"/>
              </w:rPr>
              <w:t>tahun</w:t>
            </w:r>
            <w:r w:rsidRPr="004A7C89">
              <w:rPr>
                <w:spacing w:val="-4"/>
                <w:sz w:val="18"/>
                <w:szCs w:val="18"/>
                <w:lang w:val="en-US"/>
              </w:rPr>
              <w:t xml:space="preserve"> </w:t>
            </w:r>
            <w:r w:rsidRPr="004A7C89">
              <w:rPr>
                <w:spacing w:val="-2"/>
                <w:sz w:val="18"/>
                <w:szCs w:val="18"/>
              </w:rPr>
              <w:t>201</w:t>
            </w:r>
            <w:r w:rsidRPr="004A7C89">
              <w:rPr>
                <w:spacing w:val="-2"/>
                <w:sz w:val="18"/>
                <w:szCs w:val="18"/>
                <w:lang w:val="en-US"/>
              </w:rPr>
              <w:t>9</w:t>
            </w:r>
            <w:r w:rsidRPr="004A7C89">
              <w:rPr>
                <w:spacing w:val="-2"/>
                <w:sz w:val="18"/>
                <w:szCs w:val="18"/>
              </w:rPr>
              <w:t>-</w:t>
            </w:r>
            <w:r w:rsidRPr="004A7C89">
              <w:rPr>
                <w:spacing w:val="-4"/>
                <w:sz w:val="18"/>
                <w:szCs w:val="18"/>
              </w:rPr>
              <w:t>2022</w:t>
            </w:r>
            <w:r w:rsidRPr="004A7C89">
              <w:rPr>
                <w:sz w:val="18"/>
                <w:szCs w:val="18"/>
              </w:rPr>
              <w:tab/>
            </w:r>
          </w:p>
        </w:tc>
        <w:tc>
          <w:tcPr>
            <w:tcW w:w="563" w:type="dxa"/>
            <w:tcBorders>
              <w:top w:val="single" w:sz="4" w:space="0" w:color="auto"/>
              <w:bottom w:val="single" w:sz="4" w:space="0" w:color="auto"/>
            </w:tcBorders>
          </w:tcPr>
          <w:p w14:paraId="7EF25628" w14:textId="77777777" w:rsidR="00226D31" w:rsidRPr="004A7C89" w:rsidRDefault="00226D31" w:rsidP="006A68DC">
            <w:pPr>
              <w:pStyle w:val="TableParagraph"/>
              <w:jc w:val="left"/>
              <w:rPr>
                <w:sz w:val="18"/>
                <w:szCs w:val="18"/>
              </w:rPr>
            </w:pPr>
          </w:p>
          <w:p w14:paraId="31E04161" w14:textId="77777777" w:rsidR="00226D31" w:rsidRPr="004A7C89" w:rsidRDefault="00226D31" w:rsidP="006A68DC">
            <w:pPr>
              <w:pStyle w:val="TableParagraph"/>
              <w:jc w:val="left"/>
              <w:rPr>
                <w:sz w:val="18"/>
                <w:szCs w:val="18"/>
              </w:rPr>
            </w:pPr>
          </w:p>
          <w:p w14:paraId="03390208" w14:textId="77777777" w:rsidR="00226D31" w:rsidRPr="004A7C89" w:rsidRDefault="00226D31" w:rsidP="006A68DC">
            <w:pPr>
              <w:pStyle w:val="TableParagraph"/>
              <w:ind w:left="25" w:right="69"/>
              <w:rPr>
                <w:sz w:val="18"/>
                <w:szCs w:val="18"/>
              </w:rPr>
            </w:pPr>
            <w:r w:rsidRPr="004A7C89">
              <w:rPr>
                <w:spacing w:val="-10"/>
                <w:sz w:val="18"/>
                <w:szCs w:val="18"/>
                <w:lang w:val="en-US"/>
              </w:rPr>
              <w:t>(11)</w:t>
            </w:r>
          </w:p>
        </w:tc>
      </w:tr>
      <w:tr w:rsidR="00226D31" w:rsidRPr="004A7C89" w14:paraId="6F9B7F85" w14:textId="77777777" w:rsidTr="006A68DC">
        <w:trPr>
          <w:trHeight w:val="429"/>
        </w:trPr>
        <w:tc>
          <w:tcPr>
            <w:tcW w:w="3550" w:type="dxa"/>
            <w:gridSpan w:val="2"/>
            <w:tcBorders>
              <w:top w:val="single" w:sz="4" w:space="0" w:color="auto"/>
              <w:bottom w:val="single" w:sz="4" w:space="0" w:color="auto"/>
            </w:tcBorders>
          </w:tcPr>
          <w:p w14:paraId="18B721BD" w14:textId="77777777" w:rsidR="00226D31" w:rsidRPr="004A7C89" w:rsidRDefault="00226D31" w:rsidP="006A68DC">
            <w:pPr>
              <w:pStyle w:val="TableParagraph"/>
              <w:ind w:left="131"/>
              <w:jc w:val="both"/>
              <w:rPr>
                <w:sz w:val="18"/>
                <w:szCs w:val="18"/>
              </w:rPr>
            </w:pPr>
            <w:r w:rsidRPr="004A7C89">
              <w:rPr>
                <w:sz w:val="18"/>
                <w:szCs w:val="18"/>
              </w:rPr>
              <w:t>Perusahaan</w:t>
            </w:r>
            <w:r w:rsidRPr="004A7C89">
              <w:rPr>
                <w:spacing w:val="33"/>
                <w:sz w:val="18"/>
                <w:szCs w:val="18"/>
              </w:rPr>
              <w:t xml:space="preserve"> </w:t>
            </w:r>
            <w:r w:rsidRPr="004A7C89">
              <w:rPr>
                <w:sz w:val="18"/>
                <w:szCs w:val="18"/>
              </w:rPr>
              <w:t>yang</w:t>
            </w:r>
            <w:r w:rsidRPr="004A7C89">
              <w:rPr>
                <w:spacing w:val="36"/>
                <w:sz w:val="18"/>
                <w:szCs w:val="18"/>
              </w:rPr>
              <w:t xml:space="preserve"> </w:t>
            </w:r>
            <w:r w:rsidRPr="004A7C89">
              <w:rPr>
                <w:sz w:val="18"/>
                <w:szCs w:val="18"/>
              </w:rPr>
              <w:t>dapat</w:t>
            </w:r>
            <w:r w:rsidRPr="004A7C89">
              <w:rPr>
                <w:spacing w:val="36"/>
                <w:sz w:val="18"/>
                <w:szCs w:val="18"/>
              </w:rPr>
              <w:t xml:space="preserve"> </w:t>
            </w:r>
            <w:r w:rsidRPr="004A7C89">
              <w:rPr>
                <w:sz w:val="18"/>
                <w:szCs w:val="18"/>
              </w:rPr>
              <w:t>digunakan</w:t>
            </w:r>
            <w:r w:rsidRPr="004A7C89">
              <w:rPr>
                <w:spacing w:val="35"/>
                <w:sz w:val="18"/>
                <w:szCs w:val="18"/>
              </w:rPr>
              <w:t xml:space="preserve"> </w:t>
            </w:r>
            <w:r w:rsidRPr="004A7C89">
              <w:rPr>
                <w:spacing w:val="-2"/>
                <w:sz w:val="18"/>
                <w:szCs w:val="18"/>
              </w:rPr>
              <w:t>sebagai</w:t>
            </w:r>
          </w:p>
          <w:p w14:paraId="44961844" w14:textId="77777777" w:rsidR="00226D31" w:rsidRPr="004A7C89" w:rsidRDefault="00226D31" w:rsidP="006A68DC">
            <w:pPr>
              <w:pStyle w:val="TableParagraph"/>
              <w:tabs>
                <w:tab w:val="left" w:pos="4356"/>
              </w:tabs>
              <w:ind w:left="14" w:right="-576"/>
              <w:jc w:val="left"/>
              <w:rPr>
                <w:sz w:val="18"/>
                <w:szCs w:val="18"/>
              </w:rPr>
            </w:pPr>
            <w:r w:rsidRPr="004A7C89">
              <w:rPr>
                <w:spacing w:val="66"/>
                <w:sz w:val="18"/>
                <w:szCs w:val="18"/>
              </w:rPr>
              <w:t xml:space="preserve"> </w:t>
            </w:r>
            <w:r w:rsidRPr="004A7C89">
              <w:rPr>
                <w:spacing w:val="-2"/>
                <w:sz w:val="18"/>
                <w:szCs w:val="18"/>
              </w:rPr>
              <w:t>Sampel</w:t>
            </w:r>
          </w:p>
        </w:tc>
        <w:tc>
          <w:tcPr>
            <w:tcW w:w="563" w:type="dxa"/>
            <w:tcBorders>
              <w:top w:val="single" w:sz="4" w:space="0" w:color="auto"/>
              <w:bottom w:val="single" w:sz="4" w:space="0" w:color="auto"/>
            </w:tcBorders>
          </w:tcPr>
          <w:p w14:paraId="4D2DC2EB" w14:textId="77777777" w:rsidR="00226D31" w:rsidRPr="004A7C89" w:rsidRDefault="00226D31" w:rsidP="006A68DC">
            <w:pPr>
              <w:pStyle w:val="TableParagraph"/>
              <w:ind w:left="25" w:right="74"/>
              <w:rPr>
                <w:sz w:val="18"/>
                <w:szCs w:val="18"/>
                <w:lang w:val="en-US"/>
              </w:rPr>
            </w:pPr>
            <w:r w:rsidRPr="004A7C89">
              <w:rPr>
                <w:spacing w:val="-10"/>
                <w:sz w:val="18"/>
                <w:szCs w:val="18"/>
              </w:rPr>
              <w:t>1</w:t>
            </w:r>
            <w:r w:rsidRPr="004A7C89">
              <w:rPr>
                <w:spacing w:val="-10"/>
                <w:sz w:val="18"/>
                <w:szCs w:val="18"/>
                <w:lang w:val="en-US"/>
              </w:rPr>
              <w:t>0</w:t>
            </w:r>
          </w:p>
        </w:tc>
      </w:tr>
      <w:tr w:rsidR="00226D31" w:rsidRPr="004A7C89" w14:paraId="4C0003C4" w14:textId="77777777" w:rsidTr="006A68DC">
        <w:trPr>
          <w:trHeight w:val="252"/>
        </w:trPr>
        <w:tc>
          <w:tcPr>
            <w:tcW w:w="3550" w:type="dxa"/>
            <w:gridSpan w:val="2"/>
            <w:tcBorders>
              <w:top w:val="single" w:sz="4" w:space="0" w:color="auto"/>
              <w:bottom w:val="single" w:sz="4" w:space="0" w:color="000000"/>
            </w:tcBorders>
          </w:tcPr>
          <w:p w14:paraId="3B77FC77" w14:textId="77777777" w:rsidR="00226D31" w:rsidRPr="004A7C89" w:rsidRDefault="00226D31" w:rsidP="006A68DC">
            <w:pPr>
              <w:pStyle w:val="TableParagraph"/>
              <w:ind w:left="131"/>
              <w:jc w:val="left"/>
              <w:rPr>
                <w:sz w:val="18"/>
                <w:szCs w:val="18"/>
              </w:rPr>
            </w:pPr>
            <w:r w:rsidRPr="004A7C89">
              <w:rPr>
                <w:sz w:val="18"/>
                <w:szCs w:val="18"/>
              </w:rPr>
              <w:t>Jumlah</w:t>
            </w:r>
            <w:r w:rsidRPr="004A7C89">
              <w:rPr>
                <w:spacing w:val="-2"/>
                <w:sz w:val="18"/>
                <w:szCs w:val="18"/>
              </w:rPr>
              <w:t xml:space="preserve"> </w:t>
            </w:r>
            <w:r w:rsidRPr="004A7C89">
              <w:rPr>
                <w:sz w:val="18"/>
                <w:szCs w:val="18"/>
              </w:rPr>
              <w:t>tahun</w:t>
            </w:r>
            <w:r w:rsidRPr="004A7C89">
              <w:rPr>
                <w:spacing w:val="51"/>
                <w:sz w:val="18"/>
                <w:szCs w:val="18"/>
              </w:rPr>
              <w:t xml:space="preserve"> </w:t>
            </w:r>
            <w:r w:rsidRPr="004A7C89">
              <w:rPr>
                <w:spacing w:val="-2"/>
                <w:sz w:val="18"/>
                <w:szCs w:val="18"/>
              </w:rPr>
              <w:t>pengamatan</w:t>
            </w:r>
          </w:p>
        </w:tc>
        <w:tc>
          <w:tcPr>
            <w:tcW w:w="563" w:type="dxa"/>
            <w:tcBorders>
              <w:top w:val="single" w:sz="4" w:space="0" w:color="auto"/>
              <w:bottom w:val="single" w:sz="4" w:space="0" w:color="000000"/>
            </w:tcBorders>
          </w:tcPr>
          <w:p w14:paraId="051D317C" w14:textId="77777777" w:rsidR="00226D31" w:rsidRPr="004A7C89" w:rsidRDefault="00226D31" w:rsidP="006A68DC">
            <w:pPr>
              <w:pStyle w:val="TableParagraph"/>
              <w:ind w:left="74" w:right="49"/>
              <w:rPr>
                <w:sz w:val="18"/>
                <w:szCs w:val="18"/>
              </w:rPr>
            </w:pPr>
            <w:r w:rsidRPr="004A7C89">
              <w:rPr>
                <w:spacing w:val="-10"/>
                <w:sz w:val="18"/>
                <w:szCs w:val="18"/>
                <w:lang w:val="en-US"/>
              </w:rPr>
              <w:t>4</w:t>
            </w:r>
          </w:p>
        </w:tc>
      </w:tr>
      <w:tr w:rsidR="00226D31" w:rsidRPr="004A7C89" w14:paraId="5ACA1729" w14:textId="77777777" w:rsidTr="006A68DC">
        <w:trPr>
          <w:trHeight w:val="318"/>
        </w:trPr>
        <w:tc>
          <w:tcPr>
            <w:tcW w:w="3550" w:type="dxa"/>
            <w:gridSpan w:val="2"/>
            <w:tcBorders>
              <w:top w:val="single" w:sz="4" w:space="0" w:color="000000"/>
              <w:bottom w:val="single" w:sz="4" w:space="0" w:color="000000"/>
            </w:tcBorders>
          </w:tcPr>
          <w:p w14:paraId="379D4601" w14:textId="77777777" w:rsidR="00226D31" w:rsidRPr="004A7C89" w:rsidRDefault="00226D31" w:rsidP="006A68DC">
            <w:pPr>
              <w:pStyle w:val="TableParagraph"/>
              <w:ind w:left="131"/>
              <w:jc w:val="left"/>
              <w:rPr>
                <w:sz w:val="18"/>
                <w:szCs w:val="18"/>
              </w:rPr>
            </w:pPr>
            <w:r w:rsidRPr="004A7C89">
              <w:rPr>
                <w:sz w:val="18"/>
                <w:szCs w:val="18"/>
              </w:rPr>
              <w:t>Jumlah</w:t>
            </w:r>
            <w:r w:rsidRPr="004A7C89">
              <w:rPr>
                <w:spacing w:val="-6"/>
                <w:sz w:val="18"/>
                <w:szCs w:val="18"/>
              </w:rPr>
              <w:t xml:space="preserve"> </w:t>
            </w:r>
            <w:r w:rsidRPr="004A7C89">
              <w:rPr>
                <w:sz w:val="18"/>
                <w:szCs w:val="18"/>
              </w:rPr>
              <w:t>data</w:t>
            </w:r>
            <w:r w:rsidRPr="004A7C89">
              <w:rPr>
                <w:spacing w:val="-6"/>
                <w:sz w:val="18"/>
                <w:szCs w:val="18"/>
              </w:rPr>
              <w:t xml:space="preserve"> </w:t>
            </w:r>
            <w:r w:rsidRPr="004A7C89">
              <w:rPr>
                <w:spacing w:val="-2"/>
                <w:sz w:val="18"/>
                <w:szCs w:val="18"/>
              </w:rPr>
              <w:t>penelitian</w:t>
            </w:r>
          </w:p>
        </w:tc>
        <w:tc>
          <w:tcPr>
            <w:tcW w:w="563" w:type="dxa"/>
            <w:tcBorders>
              <w:top w:val="single" w:sz="4" w:space="0" w:color="000000"/>
              <w:bottom w:val="single" w:sz="4" w:space="0" w:color="000000"/>
            </w:tcBorders>
          </w:tcPr>
          <w:p w14:paraId="27935900" w14:textId="77777777" w:rsidR="00226D31" w:rsidRPr="004A7C89" w:rsidRDefault="00226D31" w:rsidP="006A68DC">
            <w:pPr>
              <w:pStyle w:val="TableParagraph"/>
              <w:ind w:right="201"/>
              <w:jc w:val="right"/>
              <w:rPr>
                <w:sz w:val="18"/>
                <w:szCs w:val="18"/>
                <w:lang w:val="en-US"/>
              </w:rPr>
            </w:pPr>
            <w:r w:rsidRPr="004A7C89">
              <w:rPr>
                <w:sz w:val="18"/>
                <w:szCs w:val="18"/>
                <w:lang w:val="en-US"/>
              </w:rPr>
              <w:t>40</w:t>
            </w:r>
          </w:p>
        </w:tc>
      </w:tr>
    </w:tbl>
    <w:p w14:paraId="23FD5A4F" w14:textId="088A438A" w:rsidR="00A8362E" w:rsidRPr="004A7C89" w:rsidRDefault="00A8362E" w:rsidP="00A8362E">
      <w:pPr>
        <w:pStyle w:val="BodyText"/>
        <w:ind w:right="-1"/>
        <w:jc w:val="both"/>
        <w:rPr>
          <w:sz w:val="18"/>
          <w:szCs w:val="18"/>
          <w:lang w:val="en-US"/>
        </w:rPr>
      </w:pPr>
      <w:r w:rsidRPr="004A7C89">
        <w:rPr>
          <w:sz w:val="18"/>
          <w:szCs w:val="18"/>
          <w:lang w:val="en-US"/>
        </w:rPr>
        <w:t xml:space="preserve">Sumber: </w:t>
      </w:r>
      <w:r w:rsidRPr="004A7C89">
        <w:rPr>
          <w:spacing w:val="-2"/>
          <w:sz w:val="18"/>
          <w:szCs w:val="18"/>
          <w:lang w:val="en-US"/>
        </w:rPr>
        <w:t>(Sugiyono, 2019)</w:t>
      </w:r>
    </w:p>
    <w:p w14:paraId="0D837D3E" w14:textId="77777777" w:rsidR="00A8362E" w:rsidRDefault="00A8362E" w:rsidP="00226D31">
      <w:pPr>
        <w:pStyle w:val="BodyText"/>
        <w:ind w:left="152" w:right="-1" w:firstLine="566"/>
        <w:jc w:val="both"/>
      </w:pPr>
    </w:p>
    <w:p w14:paraId="15E768A6" w14:textId="548240D0" w:rsidR="00226D31" w:rsidRDefault="00226D31" w:rsidP="00351795">
      <w:pPr>
        <w:pStyle w:val="BodyText"/>
        <w:ind w:right="-1" w:firstLine="426"/>
        <w:jc w:val="both"/>
      </w:pPr>
      <w:r>
        <w:t xml:space="preserve">Penulis menggunakan data sekunder laporan keuangan dari 10 perusahaan perbankan untuk bahan penelitian dengan menggunakan data interval dari laporan keuangan triwulanan pada </w:t>
      </w:r>
      <w:hyperlink r:id="rId14">
        <w:r>
          <w:t>www.idx.co.id</w:t>
        </w:r>
      </w:hyperlink>
      <w:r>
        <w:t xml:space="preserve"> periode 2019 hingga 2022. Data tersebut kemudian diproses menggunakan SPSS.</w:t>
      </w:r>
    </w:p>
    <w:p w14:paraId="1CEDFC25" w14:textId="77777777" w:rsidR="00CF3A6F" w:rsidRDefault="00CF3A6F" w:rsidP="00CF3A6F">
      <w:pPr>
        <w:widowControl w:val="0"/>
        <w:autoSpaceDE w:val="0"/>
        <w:spacing w:before="4" w:line="220" w:lineRule="exact"/>
      </w:pPr>
    </w:p>
    <w:p w14:paraId="13DA2BD2" w14:textId="77777777" w:rsidR="00CF3A6F" w:rsidRDefault="00CF3A6F" w:rsidP="00CF3A6F">
      <w:pPr>
        <w:widowControl w:val="0"/>
        <w:autoSpaceDE w:val="0"/>
        <w:ind w:right="-1"/>
        <w:rPr>
          <w:b/>
          <w:bCs/>
          <w:w w:val="104"/>
        </w:rPr>
      </w:pPr>
      <w:r>
        <w:rPr>
          <w:b/>
          <w:bCs/>
          <w:spacing w:val="-1"/>
          <w:lang w:val="id-ID"/>
        </w:rPr>
        <w:t>HA</w:t>
      </w:r>
      <w:r>
        <w:rPr>
          <w:b/>
          <w:bCs/>
          <w:spacing w:val="-1"/>
        </w:rPr>
        <w:t xml:space="preserve">SIL DAN </w:t>
      </w:r>
      <w:r>
        <w:rPr>
          <w:b/>
          <w:bCs/>
          <w:spacing w:val="-1"/>
          <w:w w:val="104"/>
        </w:rPr>
        <w:t>PE</w:t>
      </w:r>
      <w:r>
        <w:rPr>
          <w:b/>
          <w:bCs/>
          <w:spacing w:val="4"/>
          <w:w w:val="104"/>
        </w:rPr>
        <w:t>M</w:t>
      </w:r>
      <w:r>
        <w:rPr>
          <w:b/>
          <w:bCs/>
          <w:spacing w:val="-1"/>
          <w:w w:val="104"/>
        </w:rPr>
        <w:t>B</w:t>
      </w:r>
      <w:r>
        <w:rPr>
          <w:b/>
          <w:bCs/>
          <w:w w:val="104"/>
        </w:rPr>
        <w:t>A</w:t>
      </w:r>
      <w:r>
        <w:rPr>
          <w:b/>
          <w:bCs/>
          <w:spacing w:val="1"/>
          <w:w w:val="104"/>
        </w:rPr>
        <w:t>H</w:t>
      </w:r>
      <w:r>
        <w:rPr>
          <w:b/>
          <w:bCs/>
          <w:spacing w:val="2"/>
          <w:w w:val="104"/>
        </w:rPr>
        <w:t>A</w:t>
      </w:r>
      <w:r>
        <w:rPr>
          <w:b/>
          <w:bCs/>
          <w:w w:val="104"/>
        </w:rPr>
        <w:t>SAN</w:t>
      </w:r>
    </w:p>
    <w:p w14:paraId="6BB1774C" w14:textId="77777777" w:rsidR="001206C4" w:rsidRDefault="001206C4" w:rsidP="00CF3A6F">
      <w:pPr>
        <w:widowControl w:val="0"/>
        <w:autoSpaceDE w:val="0"/>
        <w:ind w:right="-1"/>
        <w:rPr>
          <w:b/>
          <w:bCs/>
          <w:w w:val="104"/>
        </w:rPr>
      </w:pPr>
    </w:p>
    <w:p w14:paraId="0CCAF371" w14:textId="77777777" w:rsidR="00EC536B" w:rsidRDefault="00EC536B" w:rsidP="00351795">
      <w:pPr>
        <w:ind w:firstLine="426"/>
        <w:rPr>
          <w:szCs w:val="24"/>
          <w:lang w:val="en-GB"/>
        </w:rPr>
      </w:pPr>
      <w:r w:rsidRPr="004D622D">
        <w:rPr>
          <w:szCs w:val="24"/>
          <w:lang w:val="en-GB"/>
        </w:rPr>
        <w:t xml:space="preserve">Berikut adalah hasil pengumpulan data </w:t>
      </w:r>
      <w:r w:rsidRPr="004D622D">
        <w:rPr>
          <w:szCs w:val="24"/>
          <w:lang w:val="id-ID"/>
        </w:rPr>
        <w:t>ROA</w:t>
      </w:r>
      <w:r w:rsidRPr="004D622D">
        <w:rPr>
          <w:szCs w:val="24"/>
          <w:lang w:val="en-GB"/>
        </w:rPr>
        <w:t>, ROE</w:t>
      </w:r>
      <w:r w:rsidRPr="004D622D">
        <w:rPr>
          <w:szCs w:val="24"/>
          <w:lang w:val="id-ID"/>
        </w:rPr>
        <w:t>,</w:t>
      </w:r>
      <w:r w:rsidRPr="004D622D">
        <w:rPr>
          <w:szCs w:val="24"/>
          <w:lang w:val="en-GB"/>
        </w:rPr>
        <w:t xml:space="preserve"> dan </w:t>
      </w:r>
      <w:r w:rsidRPr="004D622D">
        <w:rPr>
          <w:szCs w:val="24"/>
          <w:lang w:val="id-ID"/>
        </w:rPr>
        <w:t>H</w:t>
      </w:r>
      <w:r w:rsidRPr="004D622D">
        <w:rPr>
          <w:szCs w:val="24"/>
          <w:lang w:val="en-GB"/>
        </w:rPr>
        <w:t xml:space="preserve">arga </w:t>
      </w:r>
      <w:r w:rsidRPr="004D622D">
        <w:rPr>
          <w:szCs w:val="24"/>
          <w:lang w:val="id-ID"/>
        </w:rPr>
        <w:t>S</w:t>
      </w:r>
      <w:r w:rsidRPr="004D622D">
        <w:rPr>
          <w:szCs w:val="24"/>
          <w:lang w:val="en-GB"/>
        </w:rPr>
        <w:t xml:space="preserve">aham pada perusahaan </w:t>
      </w:r>
      <w:r w:rsidRPr="004D622D">
        <w:rPr>
          <w:szCs w:val="24"/>
          <w:lang w:val="id-ID"/>
        </w:rPr>
        <w:t>Perbankan</w:t>
      </w:r>
      <w:r w:rsidRPr="004D622D">
        <w:rPr>
          <w:szCs w:val="24"/>
          <w:lang w:val="en-GB"/>
        </w:rPr>
        <w:t xml:space="preserve"> yang terdaftar di Bursa Efek Indonesia periode tahun 2019-2022 setiap tahun.</w:t>
      </w:r>
    </w:p>
    <w:p w14:paraId="74EAD595" w14:textId="77777777" w:rsidR="00A156C4" w:rsidRPr="004D622D" w:rsidRDefault="00A156C4" w:rsidP="00EC536B">
      <w:pPr>
        <w:ind w:firstLine="567"/>
        <w:rPr>
          <w:szCs w:val="24"/>
          <w:lang w:val="en-GB"/>
        </w:rPr>
      </w:pPr>
    </w:p>
    <w:p w14:paraId="60E9DEBC" w14:textId="77777777" w:rsidR="00EC536B" w:rsidRPr="001707AA" w:rsidRDefault="00EC536B" w:rsidP="00EC536B">
      <w:pPr>
        <w:jc w:val="center"/>
        <w:rPr>
          <w:sz w:val="18"/>
          <w:szCs w:val="18"/>
          <w:lang w:val="en-GB"/>
        </w:rPr>
      </w:pPr>
      <w:bookmarkStart w:id="0" w:name="_Toc136855867"/>
      <w:r w:rsidRPr="001707AA">
        <w:rPr>
          <w:sz w:val="18"/>
          <w:szCs w:val="18"/>
        </w:rPr>
        <w:t>Tabel</w:t>
      </w:r>
      <w:r w:rsidRPr="001707AA">
        <w:rPr>
          <w:sz w:val="18"/>
          <w:szCs w:val="18"/>
          <w:lang w:val="id-ID"/>
        </w:rPr>
        <w:t xml:space="preserve"> </w:t>
      </w:r>
      <w:r w:rsidRPr="001707AA">
        <w:rPr>
          <w:sz w:val="18"/>
          <w:szCs w:val="18"/>
        </w:rPr>
        <w:t>2</w:t>
      </w:r>
      <w:bookmarkEnd w:id="0"/>
      <w:r w:rsidRPr="001707AA">
        <w:rPr>
          <w:sz w:val="18"/>
          <w:szCs w:val="18"/>
        </w:rPr>
        <w:t xml:space="preserve">. </w:t>
      </w:r>
      <w:r w:rsidRPr="001707AA">
        <w:rPr>
          <w:sz w:val="18"/>
          <w:szCs w:val="18"/>
          <w:lang w:val="en-GB"/>
        </w:rPr>
        <w:t xml:space="preserve">Data </w:t>
      </w:r>
      <w:r w:rsidRPr="001707AA">
        <w:rPr>
          <w:sz w:val="18"/>
          <w:szCs w:val="18"/>
          <w:lang w:val="id-ID"/>
        </w:rPr>
        <w:t>ROA</w:t>
      </w:r>
      <w:r w:rsidRPr="001707AA">
        <w:rPr>
          <w:sz w:val="18"/>
          <w:szCs w:val="18"/>
          <w:lang w:val="en-GB"/>
        </w:rPr>
        <w:t>, ROE, dan Harga Saham</w:t>
      </w:r>
      <w:r w:rsidRPr="001707AA">
        <w:rPr>
          <w:sz w:val="18"/>
          <w:szCs w:val="18"/>
          <w:lang w:val="id-ID"/>
        </w:rPr>
        <w:t xml:space="preserve"> </w:t>
      </w:r>
    </w:p>
    <w:tbl>
      <w:tblPr>
        <w:tblW w:w="411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3"/>
        <w:gridCol w:w="709"/>
        <w:gridCol w:w="708"/>
        <w:gridCol w:w="851"/>
        <w:gridCol w:w="850"/>
      </w:tblGrid>
      <w:tr w:rsidR="0067625C" w:rsidRPr="001707AA" w14:paraId="14262372" w14:textId="77777777" w:rsidTr="00C5677B">
        <w:trPr>
          <w:trHeight w:val="525"/>
          <w:jc w:val="center"/>
        </w:trPr>
        <w:tc>
          <w:tcPr>
            <w:tcW w:w="993" w:type="dxa"/>
            <w:shd w:val="clear" w:color="auto" w:fill="auto"/>
            <w:vAlign w:val="center"/>
            <w:hideMark/>
          </w:tcPr>
          <w:p w14:paraId="7603029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Sektor Perbankan</w:t>
            </w:r>
          </w:p>
        </w:tc>
        <w:tc>
          <w:tcPr>
            <w:tcW w:w="709" w:type="dxa"/>
            <w:shd w:val="clear" w:color="auto" w:fill="auto"/>
            <w:noWrap/>
            <w:vAlign w:val="center"/>
            <w:hideMark/>
          </w:tcPr>
          <w:p w14:paraId="6C88260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Tahun</w:t>
            </w:r>
          </w:p>
        </w:tc>
        <w:tc>
          <w:tcPr>
            <w:tcW w:w="708" w:type="dxa"/>
            <w:shd w:val="clear" w:color="auto" w:fill="auto"/>
            <w:vAlign w:val="center"/>
            <w:hideMark/>
          </w:tcPr>
          <w:p w14:paraId="3E2821C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ROA (X1)</w:t>
            </w:r>
          </w:p>
        </w:tc>
        <w:tc>
          <w:tcPr>
            <w:tcW w:w="851" w:type="dxa"/>
            <w:shd w:val="clear" w:color="auto" w:fill="auto"/>
            <w:vAlign w:val="center"/>
            <w:hideMark/>
          </w:tcPr>
          <w:p w14:paraId="24A4A88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ROE (X2)</w:t>
            </w:r>
          </w:p>
        </w:tc>
        <w:tc>
          <w:tcPr>
            <w:tcW w:w="850" w:type="dxa"/>
            <w:shd w:val="clear" w:color="auto" w:fill="auto"/>
            <w:vAlign w:val="center"/>
            <w:hideMark/>
          </w:tcPr>
          <w:p w14:paraId="5BE2500E" w14:textId="51101E31" w:rsidR="0067625C" w:rsidRPr="001707AA" w:rsidRDefault="0067625C" w:rsidP="00255146">
            <w:pPr>
              <w:ind w:right="-153"/>
              <w:jc w:val="center"/>
              <w:rPr>
                <w:rFonts w:eastAsia="Times New Roman"/>
                <w:color w:val="000000"/>
                <w:sz w:val="18"/>
                <w:szCs w:val="18"/>
                <w:lang w:val="en-ID" w:eastAsia="en-ID"/>
              </w:rPr>
            </w:pPr>
            <w:r>
              <w:rPr>
                <w:rFonts w:eastAsia="Times New Roman"/>
                <w:color w:val="000000"/>
                <w:sz w:val="18"/>
                <w:szCs w:val="18"/>
                <w:lang w:val="en-ID" w:eastAsia="en-ID"/>
              </w:rPr>
              <w:t xml:space="preserve">Hrg </w:t>
            </w:r>
            <w:r w:rsidRPr="001707AA">
              <w:rPr>
                <w:rFonts w:eastAsia="Times New Roman"/>
                <w:color w:val="000000"/>
                <w:sz w:val="18"/>
                <w:szCs w:val="18"/>
                <w:lang w:val="en-ID" w:eastAsia="en-ID"/>
              </w:rPr>
              <w:t>Sah</w:t>
            </w:r>
            <w:r>
              <w:rPr>
                <w:rFonts w:eastAsia="Times New Roman"/>
                <w:color w:val="000000"/>
                <w:sz w:val="18"/>
                <w:szCs w:val="18"/>
                <w:lang w:val="en-ID" w:eastAsia="en-ID"/>
              </w:rPr>
              <w:t>a</w:t>
            </w:r>
            <w:r w:rsidRPr="001707AA">
              <w:rPr>
                <w:rFonts w:eastAsia="Times New Roman"/>
                <w:color w:val="000000"/>
                <w:sz w:val="18"/>
                <w:szCs w:val="18"/>
                <w:lang w:val="en-ID" w:eastAsia="en-ID"/>
              </w:rPr>
              <w:t>m</w:t>
            </w:r>
            <w:r>
              <w:rPr>
                <w:rFonts w:eastAsia="Times New Roman"/>
                <w:color w:val="000000"/>
                <w:sz w:val="18"/>
                <w:szCs w:val="18"/>
                <w:lang w:val="en-ID" w:eastAsia="en-ID"/>
              </w:rPr>
              <w:t xml:space="preserve"> </w:t>
            </w:r>
            <w:r w:rsidRPr="001707AA">
              <w:rPr>
                <w:rFonts w:eastAsia="Times New Roman"/>
                <w:color w:val="000000"/>
                <w:sz w:val="18"/>
                <w:szCs w:val="18"/>
                <w:lang w:val="en-ID" w:eastAsia="en-ID"/>
              </w:rPr>
              <w:t>(Y)Rp</w:t>
            </w:r>
          </w:p>
        </w:tc>
      </w:tr>
      <w:tr w:rsidR="0067625C" w:rsidRPr="001707AA" w14:paraId="6EA156E1" w14:textId="77777777" w:rsidTr="00C5677B">
        <w:trPr>
          <w:trHeight w:val="255"/>
          <w:jc w:val="center"/>
        </w:trPr>
        <w:tc>
          <w:tcPr>
            <w:tcW w:w="993" w:type="dxa"/>
            <w:vMerge w:val="restart"/>
            <w:shd w:val="clear" w:color="auto" w:fill="auto"/>
            <w:vAlign w:val="center"/>
            <w:hideMark/>
          </w:tcPr>
          <w:p w14:paraId="7B085680"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Central Asia Tbk.</w:t>
            </w:r>
          </w:p>
        </w:tc>
        <w:tc>
          <w:tcPr>
            <w:tcW w:w="709" w:type="dxa"/>
            <w:shd w:val="clear" w:color="auto" w:fill="auto"/>
            <w:noWrap/>
            <w:vAlign w:val="center"/>
            <w:hideMark/>
          </w:tcPr>
          <w:p w14:paraId="09EB6A3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27572B7B" w14:textId="77777777" w:rsidR="0067625C" w:rsidRPr="001707AA" w:rsidRDefault="0067625C" w:rsidP="00A45DC5">
            <w:pPr>
              <w:ind w:right="-174"/>
              <w:jc w:val="left"/>
              <w:rPr>
                <w:rFonts w:eastAsia="Times New Roman"/>
                <w:color w:val="000000"/>
                <w:sz w:val="18"/>
                <w:szCs w:val="18"/>
                <w:lang w:val="en-ID" w:eastAsia="en-ID"/>
              </w:rPr>
            </w:pPr>
            <w:r w:rsidRPr="001707AA">
              <w:rPr>
                <w:rFonts w:eastAsia="Times New Roman"/>
                <w:color w:val="000000"/>
                <w:sz w:val="18"/>
                <w:szCs w:val="18"/>
                <w:lang w:val="en-ID" w:eastAsia="en-ID"/>
              </w:rPr>
              <w:t>3,11%</w:t>
            </w:r>
          </w:p>
        </w:tc>
        <w:tc>
          <w:tcPr>
            <w:tcW w:w="851" w:type="dxa"/>
            <w:shd w:val="clear" w:color="auto" w:fill="auto"/>
            <w:noWrap/>
            <w:vAlign w:val="center"/>
            <w:hideMark/>
          </w:tcPr>
          <w:p w14:paraId="562BE38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3,11%</w:t>
            </w:r>
          </w:p>
        </w:tc>
        <w:tc>
          <w:tcPr>
            <w:tcW w:w="850" w:type="dxa"/>
            <w:shd w:val="clear" w:color="auto" w:fill="auto"/>
            <w:noWrap/>
            <w:vAlign w:val="center"/>
            <w:hideMark/>
          </w:tcPr>
          <w:p w14:paraId="6CC5783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5.695</w:t>
            </w:r>
          </w:p>
        </w:tc>
      </w:tr>
      <w:tr w:rsidR="0067625C" w:rsidRPr="001707AA" w14:paraId="1C2CDED1" w14:textId="77777777" w:rsidTr="00C5677B">
        <w:trPr>
          <w:trHeight w:val="255"/>
          <w:jc w:val="center"/>
        </w:trPr>
        <w:tc>
          <w:tcPr>
            <w:tcW w:w="993" w:type="dxa"/>
            <w:vMerge/>
            <w:vAlign w:val="center"/>
            <w:hideMark/>
          </w:tcPr>
          <w:p w14:paraId="08C6A69E"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47F2B9E3"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45D22609"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2,52%</w:t>
            </w:r>
          </w:p>
        </w:tc>
        <w:tc>
          <w:tcPr>
            <w:tcW w:w="851" w:type="dxa"/>
            <w:shd w:val="clear" w:color="auto" w:fill="auto"/>
            <w:noWrap/>
            <w:vAlign w:val="center"/>
            <w:hideMark/>
          </w:tcPr>
          <w:p w14:paraId="2A0A08A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2,52%</w:t>
            </w:r>
          </w:p>
        </w:tc>
        <w:tc>
          <w:tcPr>
            <w:tcW w:w="850" w:type="dxa"/>
            <w:shd w:val="clear" w:color="auto" w:fill="auto"/>
            <w:noWrap/>
            <w:vAlign w:val="center"/>
            <w:hideMark/>
          </w:tcPr>
          <w:p w14:paraId="5DFBB3C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5.770</w:t>
            </w:r>
          </w:p>
        </w:tc>
      </w:tr>
      <w:tr w:rsidR="0067625C" w:rsidRPr="001707AA" w14:paraId="61311A63" w14:textId="77777777" w:rsidTr="00C5677B">
        <w:trPr>
          <w:trHeight w:val="255"/>
          <w:jc w:val="center"/>
        </w:trPr>
        <w:tc>
          <w:tcPr>
            <w:tcW w:w="993" w:type="dxa"/>
            <w:vMerge/>
            <w:vAlign w:val="center"/>
            <w:hideMark/>
          </w:tcPr>
          <w:p w14:paraId="67E672D3"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0ECFF17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5A6FBF0B"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2,56%</w:t>
            </w:r>
          </w:p>
        </w:tc>
        <w:tc>
          <w:tcPr>
            <w:tcW w:w="851" w:type="dxa"/>
            <w:shd w:val="clear" w:color="auto" w:fill="auto"/>
            <w:noWrap/>
            <w:vAlign w:val="center"/>
            <w:hideMark/>
          </w:tcPr>
          <w:p w14:paraId="0C00EE2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15,50%</w:t>
            </w:r>
          </w:p>
        </w:tc>
        <w:tc>
          <w:tcPr>
            <w:tcW w:w="850" w:type="dxa"/>
            <w:shd w:val="clear" w:color="auto" w:fill="auto"/>
            <w:noWrap/>
            <w:vAlign w:val="center"/>
            <w:hideMark/>
          </w:tcPr>
          <w:p w14:paraId="1ABD09E3"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7.300</w:t>
            </w:r>
          </w:p>
        </w:tc>
      </w:tr>
      <w:tr w:rsidR="0067625C" w:rsidRPr="001707AA" w14:paraId="3D93C2F5" w14:textId="77777777" w:rsidTr="00C5677B">
        <w:trPr>
          <w:trHeight w:val="255"/>
          <w:jc w:val="center"/>
        </w:trPr>
        <w:tc>
          <w:tcPr>
            <w:tcW w:w="993" w:type="dxa"/>
            <w:vMerge/>
            <w:vAlign w:val="center"/>
            <w:hideMark/>
          </w:tcPr>
          <w:p w14:paraId="06F0A222"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588893F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0AA26678"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3,10%</w:t>
            </w:r>
          </w:p>
        </w:tc>
        <w:tc>
          <w:tcPr>
            <w:tcW w:w="851" w:type="dxa"/>
            <w:shd w:val="clear" w:color="auto" w:fill="auto"/>
            <w:noWrap/>
            <w:vAlign w:val="center"/>
            <w:hideMark/>
          </w:tcPr>
          <w:p w14:paraId="1341D25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18,43%</w:t>
            </w:r>
          </w:p>
        </w:tc>
        <w:tc>
          <w:tcPr>
            <w:tcW w:w="850" w:type="dxa"/>
            <w:shd w:val="clear" w:color="auto" w:fill="auto"/>
            <w:noWrap/>
            <w:vAlign w:val="center"/>
            <w:hideMark/>
          </w:tcPr>
          <w:p w14:paraId="5F2F887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8.550</w:t>
            </w:r>
          </w:p>
        </w:tc>
      </w:tr>
      <w:tr w:rsidR="0067625C" w:rsidRPr="001707AA" w14:paraId="130829EB" w14:textId="77777777" w:rsidTr="00C5677B">
        <w:trPr>
          <w:trHeight w:val="255"/>
          <w:jc w:val="center"/>
        </w:trPr>
        <w:tc>
          <w:tcPr>
            <w:tcW w:w="993" w:type="dxa"/>
            <w:vMerge w:val="restart"/>
            <w:shd w:val="clear" w:color="auto" w:fill="auto"/>
            <w:vAlign w:val="center"/>
            <w:hideMark/>
          </w:tcPr>
          <w:p w14:paraId="01C0D531"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Negara Indonesia Tbk.</w:t>
            </w:r>
          </w:p>
        </w:tc>
        <w:tc>
          <w:tcPr>
            <w:tcW w:w="709" w:type="dxa"/>
            <w:shd w:val="clear" w:color="auto" w:fill="auto"/>
            <w:noWrap/>
            <w:vAlign w:val="center"/>
            <w:hideMark/>
          </w:tcPr>
          <w:p w14:paraId="5DBF701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143C4AE0"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1,83%</w:t>
            </w:r>
          </w:p>
        </w:tc>
        <w:tc>
          <w:tcPr>
            <w:tcW w:w="851" w:type="dxa"/>
            <w:shd w:val="clear" w:color="auto" w:fill="auto"/>
            <w:noWrap/>
            <w:vAlign w:val="center"/>
            <w:hideMark/>
          </w:tcPr>
          <w:p w14:paraId="68112B0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12,41%</w:t>
            </w:r>
          </w:p>
        </w:tc>
        <w:tc>
          <w:tcPr>
            <w:tcW w:w="850" w:type="dxa"/>
            <w:shd w:val="clear" w:color="auto" w:fill="auto"/>
            <w:noWrap/>
            <w:vAlign w:val="center"/>
            <w:hideMark/>
          </w:tcPr>
          <w:p w14:paraId="75AD439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7.925</w:t>
            </w:r>
          </w:p>
        </w:tc>
      </w:tr>
      <w:tr w:rsidR="0067625C" w:rsidRPr="001707AA" w14:paraId="599737E6" w14:textId="77777777" w:rsidTr="00C5677B">
        <w:trPr>
          <w:trHeight w:val="255"/>
          <w:jc w:val="center"/>
        </w:trPr>
        <w:tc>
          <w:tcPr>
            <w:tcW w:w="993" w:type="dxa"/>
            <w:vMerge/>
            <w:vAlign w:val="center"/>
            <w:hideMark/>
          </w:tcPr>
          <w:p w14:paraId="2868B936"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5496117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1C294C64"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0,37%</w:t>
            </w:r>
          </w:p>
        </w:tc>
        <w:tc>
          <w:tcPr>
            <w:tcW w:w="851" w:type="dxa"/>
            <w:shd w:val="clear" w:color="auto" w:fill="auto"/>
            <w:noWrap/>
            <w:vAlign w:val="center"/>
            <w:hideMark/>
          </w:tcPr>
          <w:p w14:paraId="77644E5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2,94%</w:t>
            </w:r>
          </w:p>
        </w:tc>
        <w:tc>
          <w:tcPr>
            <w:tcW w:w="850" w:type="dxa"/>
            <w:shd w:val="clear" w:color="auto" w:fill="auto"/>
            <w:noWrap/>
            <w:vAlign w:val="center"/>
            <w:hideMark/>
          </w:tcPr>
          <w:p w14:paraId="5E1EAB1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5.175</w:t>
            </w:r>
          </w:p>
        </w:tc>
      </w:tr>
      <w:tr w:rsidR="0067625C" w:rsidRPr="001707AA" w14:paraId="32EB3A78" w14:textId="77777777" w:rsidTr="00C5677B">
        <w:trPr>
          <w:trHeight w:val="255"/>
          <w:jc w:val="center"/>
        </w:trPr>
        <w:tc>
          <w:tcPr>
            <w:tcW w:w="993" w:type="dxa"/>
            <w:vMerge/>
            <w:vAlign w:val="center"/>
            <w:hideMark/>
          </w:tcPr>
          <w:p w14:paraId="05D2AE6D"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7E7A4D8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34FD549E"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1,14%</w:t>
            </w:r>
          </w:p>
        </w:tc>
        <w:tc>
          <w:tcPr>
            <w:tcW w:w="851" w:type="dxa"/>
            <w:shd w:val="clear" w:color="auto" w:fill="auto"/>
            <w:noWrap/>
            <w:vAlign w:val="center"/>
            <w:hideMark/>
          </w:tcPr>
          <w:p w14:paraId="75A3EEC3"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8,68%</w:t>
            </w:r>
          </w:p>
        </w:tc>
        <w:tc>
          <w:tcPr>
            <w:tcW w:w="850" w:type="dxa"/>
            <w:shd w:val="clear" w:color="auto" w:fill="auto"/>
            <w:noWrap/>
            <w:vAlign w:val="center"/>
            <w:hideMark/>
          </w:tcPr>
          <w:p w14:paraId="2D0BA5F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5,750</w:t>
            </w:r>
          </w:p>
        </w:tc>
      </w:tr>
      <w:tr w:rsidR="0067625C" w:rsidRPr="001707AA" w14:paraId="4E65488B" w14:textId="77777777" w:rsidTr="00C5677B">
        <w:trPr>
          <w:trHeight w:val="255"/>
          <w:jc w:val="center"/>
        </w:trPr>
        <w:tc>
          <w:tcPr>
            <w:tcW w:w="993" w:type="dxa"/>
            <w:vMerge/>
            <w:vAlign w:val="center"/>
            <w:hideMark/>
          </w:tcPr>
          <w:p w14:paraId="6FB42A0F"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6DBE786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3F1F253F"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1,79%</w:t>
            </w:r>
          </w:p>
        </w:tc>
        <w:tc>
          <w:tcPr>
            <w:tcW w:w="851" w:type="dxa"/>
            <w:shd w:val="clear" w:color="auto" w:fill="auto"/>
            <w:noWrap/>
            <w:vAlign w:val="center"/>
            <w:hideMark/>
          </w:tcPr>
          <w:p w14:paraId="28E4C385"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13,18%</w:t>
            </w:r>
          </w:p>
        </w:tc>
        <w:tc>
          <w:tcPr>
            <w:tcW w:w="850" w:type="dxa"/>
            <w:shd w:val="clear" w:color="auto" w:fill="auto"/>
            <w:noWrap/>
            <w:vAlign w:val="center"/>
            <w:hideMark/>
          </w:tcPr>
          <w:p w14:paraId="6B2D92C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7,850</w:t>
            </w:r>
          </w:p>
        </w:tc>
      </w:tr>
      <w:tr w:rsidR="0067625C" w:rsidRPr="001707AA" w14:paraId="7CF1AB19" w14:textId="77777777" w:rsidTr="00C5677B">
        <w:trPr>
          <w:trHeight w:val="255"/>
          <w:jc w:val="center"/>
        </w:trPr>
        <w:tc>
          <w:tcPr>
            <w:tcW w:w="993" w:type="dxa"/>
            <w:vMerge w:val="restart"/>
            <w:shd w:val="clear" w:color="auto" w:fill="auto"/>
            <w:vAlign w:val="center"/>
            <w:hideMark/>
          </w:tcPr>
          <w:p w14:paraId="0033C5C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Rakyat Indonesia Tbk. (Persero)</w:t>
            </w:r>
          </w:p>
        </w:tc>
        <w:tc>
          <w:tcPr>
            <w:tcW w:w="709" w:type="dxa"/>
            <w:shd w:val="clear" w:color="auto" w:fill="auto"/>
            <w:noWrap/>
            <w:vAlign w:val="center"/>
            <w:hideMark/>
          </w:tcPr>
          <w:p w14:paraId="5D37F05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460CDDAD"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2,43%</w:t>
            </w:r>
          </w:p>
        </w:tc>
        <w:tc>
          <w:tcPr>
            <w:tcW w:w="851" w:type="dxa"/>
            <w:shd w:val="clear" w:color="auto" w:fill="auto"/>
            <w:noWrap/>
            <w:vAlign w:val="center"/>
            <w:hideMark/>
          </w:tcPr>
          <w:p w14:paraId="76A11F6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16,48%</w:t>
            </w:r>
          </w:p>
        </w:tc>
        <w:tc>
          <w:tcPr>
            <w:tcW w:w="850" w:type="dxa"/>
            <w:shd w:val="clear" w:color="auto" w:fill="auto"/>
            <w:noWrap/>
            <w:vAlign w:val="center"/>
            <w:hideMark/>
          </w:tcPr>
          <w:p w14:paraId="1E3F497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4.322</w:t>
            </w:r>
          </w:p>
        </w:tc>
      </w:tr>
      <w:tr w:rsidR="0067625C" w:rsidRPr="001707AA" w14:paraId="57BDBF43" w14:textId="77777777" w:rsidTr="00C5677B">
        <w:trPr>
          <w:trHeight w:val="255"/>
          <w:jc w:val="center"/>
        </w:trPr>
        <w:tc>
          <w:tcPr>
            <w:tcW w:w="993" w:type="dxa"/>
            <w:vMerge/>
            <w:vAlign w:val="center"/>
            <w:hideMark/>
          </w:tcPr>
          <w:p w14:paraId="05129907"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35855D0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584F04A6"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1,23%</w:t>
            </w:r>
          </w:p>
        </w:tc>
        <w:tc>
          <w:tcPr>
            <w:tcW w:w="851" w:type="dxa"/>
            <w:shd w:val="clear" w:color="auto" w:fill="auto"/>
            <w:noWrap/>
            <w:vAlign w:val="center"/>
            <w:hideMark/>
          </w:tcPr>
          <w:p w14:paraId="6A72411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9,33%</w:t>
            </w:r>
          </w:p>
        </w:tc>
        <w:tc>
          <w:tcPr>
            <w:tcW w:w="850" w:type="dxa"/>
            <w:shd w:val="clear" w:color="auto" w:fill="auto"/>
            <w:noWrap/>
            <w:vAlign w:val="center"/>
            <w:hideMark/>
          </w:tcPr>
          <w:p w14:paraId="3C385265"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4,058</w:t>
            </w:r>
          </w:p>
        </w:tc>
      </w:tr>
      <w:tr w:rsidR="0067625C" w:rsidRPr="001707AA" w14:paraId="37D7C8F8" w14:textId="77777777" w:rsidTr="00C5677B">
        <w:trPr>
          <w:trHeight w:val="255"/>
          <w:jc w:val="center"/>
        </w:trPr>
        <w:tc>
          <w:tcPr>
            <w:tcW w:w="993" w:type="dxa"/>
            <w:vMerge/>
            <w:vAlign w:val="center"/>
            <w:hideMark/>
          </w:tcPr>
          <w:p w14:paraId="5431B643"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1229F89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6F3280EF"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1,83%</w:t>
            </w:r>
          </w:p>
        </w:tc>
        <w:tc>
          <w:tcPr>
            <w:tcW w:w="851" w:type="dxa"/>
            <w:shd w:val="clear" w:color="auto" w:fill="auto"/>
            <w:noWrap/>
            <w:vAlign w:val="center"/>
            <w:hideMark/>
          </w:tcPr>
          <w:p w14:paraId="7F8946F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10,54%</w:t>
            </w:r>
          </w:p>
        </w:tc>
        <w:tc>
          <w:tcPr>
            <w:tcW w:w="850" w:type="dxa"/>
            <w:shd w:val="clear" w:color="auto" w:fill="auto"/>
            <w:noWrap/>
            <w:vAlign w:val="center"/>
            <w:hideMark/>
          </w:tcPr>
          <w:p w14:paraId="50751C9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4.110</w:t>
            </w:r>
          </w:p>
        </w:tc>
      </w:tr>
      <w:tr w:rsidR="0067625C" w:rsidRPr="001707AA" w14:paraId="70D46F7A" w14:textId="77777777" w:rsidTr="00C5677B">
        <w:trPr>
          <w:trHeight w:val="255"/>
          <w:jc w:val="center"/>
        </w:trPr>
        <w:tc>
          <w:tcPr>
            <w:tcW w:w="993" w:type="dxa"/>
            <w:vMerge/>
            <w:vAlign w:val="center"/>
            <w:hideMark/>
          </w:tcPr>
          <w:p w14:paraId="44CB4510"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45253EA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40E20761"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2,76%</w:t>
            </w:r>
          </w:p>
        </w:tc>
        <w:tc>
          <w:tcPr>
            <w:tcW w:w="851" w:type="dxa"/>
            <w:shd w:val="clear" w:color="auto" w:fill="auto"/>
            <w:noWrap/>
            <w:vAlign w:val="center"/>
            <w:hideMark/>
          </w:tcPr>
          <w:p w14:paraId="3A41E53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16,94%</w:t>
            </w:r>
          </w:p>
        </w:tc>
        <w:tc>
          <w:tcPr>
            <w:tcW w:w="850" w:type="dxa"/>
            <w:shd w:val="clear" w:color="auto" w:fill="auto"/>
            <w:noWrap/>
            <w:vAlign w:val="center"/>
            <w:hideMark/>
          </w:tcPr>
          <w:p w14:paraId="0D04163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4,140</w:t>
            </w:r>
          </w:p>
        </w:tc>
      </w:tr>
      <w:tr w:rsidR="0067625C" w:rsidRPr="001707AA" w14:paraId="0D03BA29" w14:textId="77777777" w:rsidTr="00C5677B">
        <w:trPr>
          <w:trHeight w:val="255"/>
          <w:jc w:val="center"/>
        </w:trPr>
        <w:tc>
          <w:tcPr>
            <w:tcW w:w="993" w:type="dxa"/>
            <w:vMerge w:val="restart"/>
            <w:shd w:val="clear" w:color="auto" w:fill="auto"/>
            <w:vAlign w:val="center"/>
            <w:hideMark/>
          </w:tcPr>
          <w:p w14:paraId="554E73A2"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 xml:space="preserve">Bank Danamon </w:t>
            </w:r>
            <w:r w:rsidRPr="001707AA">
              <w:rPr>
                <w:rFonts w:eastAsia="Times New Roman"/>
                <w:color w:val="000000"/>
                <w:sz w:val="18"/>
                <w:szCs w:val="18"/>
                <w:lang w:val="en-ID" w:eastAsia="en-ID"/>
              </w:rPr>
              <w:lastRenderedPageBreak/>
              <w:t>Indonesia Tbk.</w:t>
            </w:r>
          </w:p>
        </w:tc>
        <w:tc>
          <w:tcPr>
            <w:tcW w:w="709" w:type="dxa"/>
            <w:shd w:val="clear" w:color="auto" w:fill="auto"/>
            <w:noWrap/>
            <w:vAlign w:val="center"/>
            <w:hideMark/>
          </w:tcPr>
          <w:p w14:paraId="3DB6F64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lastRenderedPageBreak/>
              <w:t>2019</w:t>
            </w:r>
          </w:p>
        </w:tc>
        <w:tc>
          <w:tcPr>
            <w:tcW w:w="708" w:type="dxa"/>
            <w:shd w:val="clear" w:color="auto" w:fill="auto"/>
            <w:noWrap/>
            <w:vAlign w:val="center"/>
            <w:hideMark/>
          </w:tcPr>
          <w:p w14:paraId="2F13C9C1"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2,19%</w:t>
            </w:r>
          </w:p>
        </w:tc>
        <w:tc>
          <w:tcPr>
            <w:tcW w:w="851" w:type="dxa"/>
            <w:shd w:val="clear" w:color="auto" w:fill="auto"/>
            <w:noWrap/>
            <w:vAlign w:val="center"/>
            <w:hideMark/>
          </w:tcPr>
          <w:p w14:paraId="252FCC8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9,34%</w:t>
            </w:r>
          </w:p>
        </w:tc>
        <w:tc>
          <w:tcPr>
            <w:tcW w:w="850" w:type="dxa"/>
            <w:shd w:val="clear" w:color="auto" w:fill="auto"/>
            <w:noWrap/>
            <w:vAlign w:val="center"/>
            <w:hideMark/>
          </w:tcPr>
          <w:p w14:paraId="35C6219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4,050</w:t>
            </w:r>
          </w:p>
        </w:tc>
      </w:tr>
      <w:tr w:rsidR="0067625C" w:rsidRPr="001707AA" w14:paraId="6EC56400" w14:textId="77777777" w:rsidTr="00C5677B">
        <w:trPr>
          <w:trHeight w:val="255"/>
          <w:jc w:val="center"/>
        </w:trPr>
        <w:tc>
          <w:tcPr>
            <w:tcW w:w="993" w:type="dxa"/>
            <w:vMerge/>
            <w:vAlign w:val="center"/>
            <w:hideMark/>
          </w:tcPr>
          <w:p w14:paraId="7AB2D6A6"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39E185E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1BDBDD65"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0,54%</w:t>
            </w:r>
          </w:p>
        </w:tc>
        <w:tc>
          <w:tcPr>
            <w:tcW w:w="851" w:type="dxa"/>
            <w:shd w:val="clear" w:color="auto" w:fill="auto"/>
            <w:noWrap/>
            <w:vAlign w:val="center"/>
            <w:hideMark/>
          </w:tcPr>
          <w:p w14:paraId="5CC92EA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2,50%</w:t>
            </w:r>
          </w:p>
        </w:tc>
        <w:tc>
          <w:tcPr>
            <w:tcW w:w="850" w:type="dxa"/>
            <w:shd w:val="clear" w:color="auto" w:fill="auto"/>
            <w:noWrap/>
            <w:vAlign w:val="center"/>
            <w:hideMark/>
          </w:tcPr>
          <w:p w14:paraId="2D108B8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3.140</w:t>
            </w:r>
          </w:p>
        </w:tc>
      </w:tr>
      <w:tr w:rsidR="0067625C" w:rsidRPr="001707AA" w14:paraId="780DADFC" w14:textId="77777777" w:rsidTr="00C5677B">
        <w:trPr>
          <w:trHeight w:val="255"/>
          <w:jc w:val="center"/>
        </w:trPr>
        <w:tc>
          <w:tcPr>
            <w:tcW w:w="993" w:type="dxa"/>
            <w:vMerge/>
            <w:vAlign w:val="center"/>
            <w:hideMark/>
          </w:tcPr>
          <w:p w14:paraId="2AFF3343"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1B5E5D52"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0E2ECD50"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0,87%</w:t>
            </w:r>
          </w:p>
        </w:tc>
        <w:tc>
          <w:tcPr>
            <w:tcW w:w="851" w:type="dxa"/>
            <w:shd w:val="clear" w:color="auto" w:fill="auto"/>
            <w:noWrap/>
            <w:vAlign w:val="center"/>
            <w:hideMark/>
          </w:tcPr>
          <w:p w14:paraId="3487243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3,69%</w:t>
            </w:r>
          </w:p>
        </w:tc>
        <w:tc>
          <w:tcPr>
            <w:tcW w:w="850" w:type="dxa"/>
            <w:shd w:val="clear" w:color="auto" w:fill="auto"/>
            <w:noWrap/>
            <w:vAlign w:val="center"/>
            <w:hideMark/>
          </w:tcPr>
          <w:p w14:paraId="3F854DF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2.350</w:t>
            </w:r>
          </w:p>
        </w:tc>
      </w:tr>
      <w:tr w:rsidR="0067625C" w:rsidRPr="001707AA" w14:paraId="03EF640D" w14:textId="77777777" w:rsidTr="00C5677B">
        <w:trPr>
          <w:trHeight w:val="255"/>
          <w:jc w:val="center"/>
        </w:trPr>
        <w:tc>
          <w:tcPr>
            <w:tcW w:w="993" w:type="dxa"/>
            <w:vMerge/>
            <w:vAlign w:val="center"/>
            <w:hideMark/>
          </w:tcPr>
          <w:p w14:paraId="7408033C"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7271134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76FD55A5"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1,73%</w:t>
            </w:r>
          </w:p>
        </w:tc>
        <w:tc>
          <w:tcPr>
            <w:tcW w:w="851" w:type="dxa"/>
            <w:shd w:val="clear" w:color="auto" w:fill="auto"/>
            <w:noWrap/>
            <w:vAlign w:val="center"/>
            <w:hideMark/>
          </w:tcPr>
          <w:p w14:paraId="6FCB867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7,22%</w:t>
            </w:r>
          </w:p>
        </w:tc>
        <w:tc>
          <w:tcPr>
            <w:tcW w:w="850" w:type="dxa"/>
            <w:shd w:val="clear" w:color="auto" w:fill="auto"/>
            <w:noWrap/>
            <w:vAlign w:val="center"/>
            <w:hideMark/>
          </w:tcPr>
          <w:p w14:paraId="6DF24FE1"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2.350</w:t>
            </w:r>
          </w:p>
        </w:tc>
      </w:tr>
      <w:tr w:rsidR="0067625C" w:rsidRPr="001707AA" w14:paraId="2186ED68" w14:textId="77777777" w:rsidTr="00C5677B">
        <w:trPr>
          <w:trHeight w:val="255"/>
          <w:jc w:val="center"/>
        </w:trPr>
        <w:tc>
          <w:tcPr>
            <w:tcW w:w="993" w:type="dxa"/>
            <w:vMerge w:val="restart"/>
            <w:shd w:val="clear" w:color="auto" w:fill="auto"/>
            <w:vAlign w:val="center"/>
            <w:hideMark/>
          </w:tcPr>
          <w:p w14:paraId="0C47430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Mandiri Tbk. (Persero)</w:t>
            </w:r>
          </w:p>
        </w:tc>
        <w:tc>
          <w:tcPr>
            <w:tcW w:w="709" w:type="dxa"/>
            <w:shd w:val="clear" w:color="auto" w:fill="auto"/>
            <w:noWrap/>
            <w:vAlign w:val="center"/>
            <w:hideMark/>
          </w:tcPr>
          <w:p w14:paraId="24E3318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3AF07EB5"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2,16%</w:t>
            </w:r>
          </w:p>
        </w:tc>
        <w:tc>
          <w:tcPr>
            <w:tcW w:w="851" w:type="dxa"/>
            <w:shd w:val="clear" w:color="auto" w:fill="auto"/>
            <w:noWrap/>
            <w:vAlign w:val="center"/>
            <w:hideMark/>
          </w:tcPr>
          <w:p w14:paraId="3739BE1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13,61%</w:t>
            </w:r>
          </w:p>
        </w:tc>
        <w:tc>
          <w:tcPr>
            <w:tcW w:w="850" w:type="dxa"/>
            <w:shd w:val="clear" w:color="auto" w:fill="auto"/>
            <w:noWrap/>
            <w:vAlign w:val="center"/>
            <w:hideMark/>
          </w:tcPr>
          <w:p w14:paraId="3D3E7E7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7.750</w:t>
            </w:r>
          </w:p>
        </w:tc>
      </w:tr>
      <w:tr w:rsidR="0067625C" w:rsidRPr="001707AA" w14:paraId="6E07C8DD" w14:textId="77777777" w:rsidTr="00C5677B">
        <w:trPr>
          <w:trHeight w:val="255"/>
          <w:jc w:val="center"/>
        </w:trPr>
        <w:tc>
          <w:tcPr>
            <w:tcW w:w="993" w:type="dxa"/>
            <w:vMerge/>
            <w:vAlign w:val="center"/>
            <w:hideMark/>
          </w:tcPr>
          <w:p w14:paraId="6CFF0E69"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0FD8BA9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087B3B27"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1,23%</w:t>
            </w:r>
          </w:p>
        </w:tc>
        <w:tc>
          <w:tcPr>
            <w:tcW w:w="851" w:type="dxa"/>
            <w:shd w:val="clear" w:color="auto" w:fill="auto"/>
            <w:noWrap/>
            <w:vAlign w:val="center"/>
            <w:hideMark/>
          </w:tcPr>
          <w:p w14:paraId="7A990A2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9,11%</w:t>
            </w:r>
          </w:p>
        </w:tc>
        <w:tc>
          <w:tcPr>
            <w:tcW w:w="850" w:type="dxa"/>
            <w:shd w:val="clear" w:color="auto" w:fill="auto"/>
            <w:noWrap/>
            <w:vAlign w:val="center"/>
            <w:hideMark/>
          </w:tcPr>
          <w:p w14:paraId="5C2762D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6.325</w:t>
            </w:r>
          </w:p>
        </w:tc>
      </w:tr>
      <w:tr w:rsidR="0067625C" w:rsidRPr="001707AA" w14:paraId="2743B294" w14:textId="77777777" w:rsidTr="00C5677B">
        <w:trPr>
          <w:trHeight w:val="255"/>
          <w:jc w:val="center"/>
        </w:trPr>
        <w:tc>
          <w:tcPr>
            <w:tcW w:w="993" w:type="dxa"/>
            <w:vMerge/>
            <w:vAlign w:val="center"/>
            <w:hideMark/>
          </w:tcPr>
          <w:p w14:paraId="2D85E1AE"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042F959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308AC9B4"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1,77%</w:t>
            </w:r>
          </w:p>
        </w:tc>
        <w:tc>
          <w:tcPr>
            <w:tcW w:w="851" w:type="dxa"/>
            <w:shd w:val="clear" w:color="auto" w:fill="auto"/>
            <w:noWrap/>
            <w:vAlign w:val="center"/>
            <w:hideMark/>
          </w:tcPr>
          <w:p w14:paraId="5768BDE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175,33%</w:t>
            </w:r>
          </w:p>
        </w:tc>
        <w:tc>
          <w:tcPr>
            <w:tcW w:w="850" w:type="dxa"/>
            <w:shd w:val="clear" w:color="auto" w:fill="auto"/>
            <w:noWrap/>
            <w:vAlign w:val="center"/>
            <w:hideMark/>
          </w:tcPr>
          <w:p w14:paraId="684B2E7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7.025</w:t>
            </w:r>
          </w:p>
        </w:tc>
      </w:tr>
      <w:tr w:rsidR="0067625C" w:rsidRPr="001707AA" w14:paraId="68AE4A44" w14:textId="77777777" w:rsidTr="00C5677B">
        <w:trPr>
          <w:trHeight w:val="255"/>
          <w:jc w:val="center"/>
        </w:trPr>
        <w:tc>
          <w:tcPr>
            <w:tcW w:w="993" w:type="dxa"/>
            <w:vMerge/>
            <w:vAlign w:val="center"/>
            <w:hideMark/>
          </w:tcPr>
          <w:p w14:paraId="42454959"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771BBB7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7DF39FCA"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2,26%</w:t>
            </w:r>
          </w:p>
        </w:tc>
        <w:tc>
          <w:tcPr>
            <w:tcW w:w="851" w:type="dxa"/>
            <w:shd w:val="clear" w:color="auto" w:fill="auto"/>
            <w:noWrap/>
            <w:vAlign w:val="center"/>
            <w:hideMark/>
          </w:tcPr>
          <w:p w14:paraId="0646076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17.82%</w:t>
            </w:r>
          </w:p>
        </w:tc>
        <w:tc>
          <w:tcPr>
            <w:tcW w:w="850" w:type="dxa"/>
            <w:shd w:val="clear" w:color="auto" w:fill="auto"/>
            <w:noWrap/>
            <w:vAlign w:val="center"/>
            <w:hideMark/>
          </w:tcPr>
          <w:p w14:paraId="4796364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7.600</w:t>
            </w:r>
          </w:p>
        </w:tc>
      </w:tr>
      <w:tr w:rsidR="0067625C" w:rsidRPr="001707AA" w14:paraId="62304389" w14:textId="77777777" w:rsidTr="00C5677B">
        <w:trPr>
          <w:trHeight w:val="255"/>
          <w:jc w:val="center"/>
        </w:trPr>
        <w:tc>
          <w:tcPr>
            <w:tcW w:w="993" w:type="dxa"/>
            <w:vMerge w:val="restart"/>
            <w:shd w:val="clear" w:color="auto" w:fill="auto"/>
            <w:vAlign w:val="center"/>
            <w:hideMark/>
          </w:tcPr>
          <w:p w14:paraId="73F4857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CIMB Niaga Tbk.</w:t>
            </w:r>
          </w:p>
        </w:tc>
        <w:tc>
          <w:tcPr>
            <w:tcW w:w="709" w:type="dxa"/>
            <w:shd w:val="clear" w:color="auto" w:fill="auto"/>
            <w:noWrap/>
            <w:vAlign w:val="center"/>
            <w:hideMark/>
          </w:tcPr>
          <w:p w14:paraId="06B0B8B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44AC0AF1"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1,33%</w:t>
            </w:r>
          </w:p>
        </w:tc>
        <w:tc>
          <w:tcPr>
            <w:tcW w:w="851" w:type="dxa"/>
            <w:shd w:val="clear" w:color="auto" w:fill="auto"/>
            <w:noWrap/>
            <w:vAlign w:val="center"/>
            <w:hideMark/>
          </w:tcPr>
          <w:p w14:paraId="172CA90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8,41%</w:t>
            </w:r>
          </w:p>
        </w:tc>
        <w:tc>
          <w:tcPr>
            <w:tcW w:w="850" w:type="dxa"/>
            <w:shd w:val="clear" w:color="auto" w:fill="auto"/>
            <w:noWrap/>
            <w:vAlign w:val="center"/>
            <w:hideMark/>
          </w:tcPr>
          <w:p w14:paraId="275E27F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985</w:t>
            </w:r>
          </w:p>
        </w:tc>
      </w:tr>
      <w:tr w:rsidR="0067625C" w:rsidRPr="001707AA" w14:paraId="26B689DE" w14:textId="77777777" w:rsidTr="00C5677B">
        <w:trPr>
          <w:trHeight w:val="255"/>
          <w:jc w:val="center"/>
        </w:trPr>
        <w:tc>
          <w:tcPr>
            <w:tcW w:w="993" w:type="dxa"/>
            <w:vMerge/>
            <w:vAlign w:val="center"/>
            <w:hideMark/>
          </w:tcPr>
          <w:p w14:paraId="25449976"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53C0060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08B4234C"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0,72%</w:t>
            </w:r>
          </w:p>
        </w:tc>
        <w:tc>
          <w:tcPr>
            <w:tcW w:w="851" w:type="dxa"/>
            <w:shd w:val="clear" w:color="auto" w:fill="auto"/>
            <w:noWrap/>
            <w:vAlign w:val="center"/>
            <w:hideMark/>
          </w:tcPr>
          <w:p w14:paraId="01BACB8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4,90%</w:t>
            </w:r>
          </w:p>
        </w:tc>
        <w:tc>
          <w:tcPr>
            <w:tcW w:w="850" w:type="dxa"/>
            <w:shd w:val="clear" w:color="auto" w:fill="auto"/>
            <w:noWrap/>
            <w:vAlign w:val="center"/>
            <w:hideMark/>
          </w:tcPr>
          <w:p w14:paraId="761F380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995</w:t>
            </w:r>
          </w:p>
        </w:tc>
      </w:tr>
      <w:tr w:rsidR="0067625C" w:rsidRPr="001707AA" w14:paraId="75622073" w14:textId="77777777" w:rsidTr="00C5677B">
        <w:trPr>
          <w:trHeight w:val="255"/>
          <w:jc w:val="center"/>
        </w:trPr>
        <w:tc>
          <w:tcPr>
            <w:tcW w:w="993" w:type="dxa"/>
            <w:vMerge/>
            <w:vAlign w:val="center"/>
            <w:hideMark/>
          </w:tcPr>
          <w:p w14:paraId="32974669"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707500F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53B3B164"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1,32%</w:t>
            </w:r>
          </w:p>
        </w:tc>
        <w:tc>
          <w:tcPr>
            <w:tcW w:w="851" w:type="dxa"/>
            <w:shd w:val="clear" w:color="auto" w:fill="auto"/>
            <w:noWrap/>
            <w:vAlign w:val="center"/>
            <w:hideMark/>
          </w:tcPr>
          <w:p w14:paraId="2FA92E42"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9,45%</w:t>
            </w:r>
          </w:p>
        </w:tc>
        <w:tc>
          <w:tcPr>
            <w:tcW w:w="850" w:type="dxa"/>
            <w:shd w:val="clear" w:color="auto" w:fill="auto"/>
            <w:noWrap/>
            <w:vAlign w:val="center"/>
            <w:hideMark/>
          </w:tcPr>
          <w:p w14:paraId="0860672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965</w:t>
            </w:r>
          </w:p>
        </w:tc>
      </w:tr>
      <w:tr w:rsidR="0067625C" w:rsidRPr="001707AA" w14:paraId="185F9F2F" w14:textId="77777777" w:rsidTr="00C5677B">
        <w:trPr>
          <w:trHeight w:val="255"/>
          <w:jc w:val="center"/>
        </w:trPr>
        <w:tc>
          <w:tcPr>
            <w:tcW w:w="993" w:type="dxa"/>
            <w:vMerge/>
            <w:vAlign w:val="center"/>
            <w:hideMark/>
          </w:tcPr>
          <w:p w14:paraId="6E6CD46A"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601DC5F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71407E74"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1,66%</w:t>
            </w:r>
          </w:p>
        </w:tc>
        <w:tc>
          <w:tcPr>
            <w:tcW w:w="851" w:type="dxa"/>
            <w:shd w:val="clear" w:color="auto" w:fill="auto"/>
            <w:noWrap/>
            <w:vAlign w:val="center"/>
            <w:hideMark/>
          </w:tcPr>
          <w:p w14:paraId="52400D4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11,26%</w:t>
            </w:r>
          </w:p>
        </w:tc>
        <w:tc>
          <w:tcPr>
            <w:tcW w:w="850" w:type="dxa"/>
            <w:shd w:val="clear" w:color="auto" w:fill="auto"/>
            <w:noWrap/>
            <w:vAlign w:val="center"/>
            <w:hideMark/>
          </w:tcPr>
          <w:p w14:paraId="7E4AD87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1.000</w:t>
            </w:r>
          </w:p>
        </w:tc>
      </w:tr>
      <w:tr w:rsidR="0067625C" w:rsidRPr="001707AA" w14:paraId="1B211BCD" w14:textId="77777777" w:rsidTr="00C5677B">
        <w:trPr>
          <w:trHeight w:val="255"/>
          <w:jc w:val="center"/>
        </w:trPr>
        <w:tc>
          <w:tcPr>
            <w:tcW w:w="993" w:type="dxa"/>
            <w:vMerge w:val="restart"/>
            <w:shd w:val="clear" w:color="auto" w:fill="auto"/>
            <w:vAlign w:val="center"/>
            <w:hideMark/>
          </w:tcPr>
          <w:p w14:paraId="3BBF527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Permata Tbk.</w:t>
            </w:r>
          </w:p>
        </w:tc>
        <w:tc>
          <w:tcPr>
            <w:tcW w:w="709" w:type="dxa"/>
            <w:shd w:val="clear" w:color="auto" w:fill="auto"/>
            <w:noWrap/>
            <w:vAlign w:val="center"/>
            <w:hideMark/>
          </w:tcPr>
          <w:p w14:paraId="35CC17C5"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71B8A74C"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0,93%</w:t>
            </w:r>
          </w:p>
        </w:tc>
        <w:tc>
          <w:tcPr>
            <w:tcW w:w="851" w:type="dxa"/>
            <w:shd w:val="clear" w:color="auto" w:fill="auto"/>
            <w:noWrap/>
            <w:vAlign w:val="center"/>
            <w:hideMark/>
          </w:tcPr>
          <w:p w14:paraId="53F6FA6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6,24%</w:t>
            </w:r>
          </w:p>
        </w:tc>
        <w:tc>
          <w:tcPr>
            <w:tcW w:w="850" w:type="dxa"/>
            <w:shd w:val="clear" w:color="auto" w:fill="auto"/>
            <w:noWrap/>
            <w:vAlign w:val="center"/>
            <w:hideMark/>
          </w:tcPr>
          <w:p w14:paraId="44F2367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1.097</w:t>
            </w:r>
          </w:p>
        </w:tc>
      </w:tr>
      <w:tr w:rsidR="0067625C" w:rsidRPr="001707AA" w14:paraId="6FC22D18" w14:textId="77777777" w:rsidTr="00C5677B">
        <w:trPr>
          <w:trHeight w:val="255"/>
          <w:jc w:val="center"/>
        </w:trPr>
        <w:tc>
          <w:tcPr>
            <w:tcW w:w="993" w:type="dxa"/>
            <w:vMerge/>
            <w:vAlign w:val="center"/>
            <w:hideMark/>
          </w:tcPr>
          <w:p w14:paraId="4E649259"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034F2C63"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0F669375"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0,36%</w:t>
            </w:r>
          </w:p>
        </w:tc>
        <w:tc>
          <w:tcPr>
            <w:tcW w:w="851" w:type="dxa"/>
            <w:shd w:val="clear" w:color="auto" w:fill="auto"/>
            <w:noWrap/>
            <w:vAlign w:val="center"/>
            <w:hideMark/>
          </w:tcPr>
          <w:p w14:paraId="6D33998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2,06%</w:t>
            </w:r>
          </w:p>
        </w:tc>
        <w:tc>
          <w:tcPr>
            <w:tcW w:w="850" w:type="dxa"/>
            <w:shd w:val="clear" w:color="auto" w:fill="auto"/>
            <w:noWrap/>
            <w:vAlign w:val="center"/>
            <w:hideMark/>
          </w:tcPr>
          <w:p w14:paraId="6F96302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2.629</w:t>
            </w:r>
          </w:p>
        </w:tc>
      </w:tr>
      <w:tr w:rsidR="0067625C" w:rsidRPr="001707AA" w14:paraId="68E6913F" w14:textId="77777777" w:rsidTr="00C5677B">
        <w:trPr>
          <w:trHeight w:val="255"/>
          <w:jc w:val="center"/>
        </w:trPr>
        <w:tc>
          <w:tcPr>
            <w:tcW w:w="993" w:type="dxa"/>
            <w:vMerge/>
            <w:vAlign w:val="center"/>
            <w:hideMark/>
          </w:tcPr>
          <w:p w14:paraId="1292D236"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25971D6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31501D09"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0,53%</w:t>
            </w:r>
          </w:p>
        </w:tc>
        <w:tc>
          <w:tcPr>
            <w:tcW w:w="851" w:type="dxa"/>
            <w:shd w:val="clear" w:color="auto" w:fill="auto"/>
            <w:noWrap/>
            <w:vAlign w:val="center"/>
            <w:hideMark/>
          </w:tcPr>
          <w:p w14:paraId="6976BE9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3,36%</w:t>
            </w:r>
          </w:p>
        </w:tc>
        <w:tc>
          <w:tcPr>
            <w:tcW w:w="850" w:type="dxa"/>
            <w:shd w:val="clear" w:color="auto" w:fill="auto"/>
            <w:noWrap/>
            <w:vAlign w:val="center"/>
            <w:hideMark/>
          </w:tcPr>
          <w:p w14:paraId="0B7A2B9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1.535</w:t>
            </w:r>
          </w:p>
        </w:tc>
      </w:tr>
      <w:tr w:rsidR="0067625C" w:rsidRPr="001707AA" w14:paraId="0EDEFDD2" w14:textId="77777777" w:rsidTr="00C5677B">
        <w:trPr>
          <w:trHeight w:val="255"/>
          <w:jc w:val="center"/>
        </w:trPr>
        <w:tc>
          <w:tcPr>
            <w:tcW w:w="993" w:type="dxa"/>
            <w:vMerge/>
            <w:vAlign w:val="center"/>
            <w:hideMark/>
          </w:tcPr>
          <w:p w14:paraId="0C2EE8BD"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7EA34AD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597AEC13"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0.79%</w:t>
            </w:r>
          </w:p>
        </w:tc>
        <w:tc>
          <w:tcPr>
            <w:tcW w:w="851" w:type="dxa"/>
            <w:shd w:val="clear" w:color="auto" w:fill="auto"/>
            <w:noWrap/>
            <w:vAlign w:val="center"/>
            <w:hideMark/>
          </w:tcPr>
          <w:p w14:paraId="5BBF8A50"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5,35%</w:t>
            </w:r>
          </w:p>
        </w:tc>
        <w:tc>
          <w:tcPr>
            <w:tcW w:w="850" w:type="dxa"/>
            <w:shd w:val="clear" w:color="auto" w:fill="auto"/>
            <w:noWrap/>
            <w:vAlign w:val="center"/>
            <w:hideMark/>
          </w:tcPr>
          <w:p w14:paraId="5E2A111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1.200</w:t>
            </w:r>
          </w:p>
        </w:tc>
      </w:tr>
      <w:tr w:rsidR="0067625C" w:rsidRPr="001707AA" w14:paraId="3D3E904B" w14:textId="77777777" w:rsidTr="00C5677B">
        <w:trPr>
          <w:trHeight w:val="255"/>
          <w:jc w:val="center"/>
        </w:trPr>
        <w:tc>
          <w:tcPr>
            <w:tcW w:w="993" w:type="dxa"/>
            <w:vMerge w:val="restart"/>
            <w:shd w:val="clear" w:color="auto" w:fill="auto"/>
            <w:vAlign w:val="center"/>
            <w:hideMark/>
          </w:tcPr>
          <w:p w14:paraId="1B21C19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Mega Tbk.</w:t>
            </w:r>
          </w:p>
        </w:tc>
        <w:tc>
          <w:tcPr>
            <w:tcW w:w="709" w:type="dxa"/>
            <w:shd w:val="clear" w:color="auto" w:fill="auto"/>
            <w:noWrap/>
            <w:vAlign w:val="center"/>
            <w:hideMark/>
          </w:tcPr>
          <w:p w14:paraId="790D307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0A0971A5"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1,99%</w:t>
            </w:r>
          </w:p>
        </w:tc>
        <w:tc>
          <w:tcPr>
            <w:tcW w:w="851" w:type="dxa"/>
            <w:shd w:val="clear" w:color="auto" w:fill="auto"/>
            <w:noWrap/>
            <w:vAlign w:val="center"/>
            <w:hideMark/>
          </w:tcPr>
          <w:p w14:paraId="275978C5"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12,89%</w:t>
            </w:r>
          </w:p>
        </w:tc>
        <w:tc>
          <w:tcPr>
            <w:tcW w:w="850" w:type="dxa"/>
            <w:shd w:val="clear" w:color="auto" w:fill="auto"/>
            <w:noWrap/>
            <w:vAlign w:val="center"/>
            <w:hideMark/>
          </w:tcPr>
          <w:p w14:paraId="2E7AEF6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4.030</w:t>
            </w:r>
          </w:p>
        </w:tc>
      </w:tr>
      <w:tr w:rsidR="0067625C" w:rsidRPr="001707AA" w14:paraId="56741BF7" w14:textId="77777777" w:rsidTr="00C5677B">
        <w:trPr>
          <w:trHeight w:val="255"/>
          <w:jc w:val="center"/>
        </w:trPr>
        <w:tc>
          <w:tcPr>
            <w:tcW w:w="993" w:type="dxa"/>
            <w:vMerge/>
            <w:vAlign w:val="center"/>
            <w:hideMark/>
          </w:tcPr>
          <w:p w14:paraId="39AFCAF0"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28091E20"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00D5694D"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2,68%</w:t>
            </w:r>
          </w:p>
        </w:tc>
        <w:tc>
          <w:tcPr>
            <w:tcW w:w="851" w:type="dxa"/>
            <w:shd w:val="clear" w:color="auto" w:fill="auto"/>
            <w:noWrap/>
            <w:vAlign w:val="center"/>
            <w:hideMark/>
          </w:tcPr>
          <w:p w14:paraId="163560E1"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16,52%</w:t>
            </w:r>
          </w:p>
        </w:tc>
        <w:tc>
          <w:tcPr>
            <w:tcW w:w="850" w:type="dxa"/>
            <w:shd w:val="clear" w:color="auto" w:fill="auto"/>
            <w:noWrap/>
            <w:vAlign w:val="center"/>
            <w:hideMark/>
          </w:tcPr>
          <w:p w14:paraId="18D24A2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4.267</w:t>
            </w:r>
          </w:p>
        </w:tc>
      </w:tr>
      <w:tr w:rsidR="0067625C" w:rsidRPr="001707AA" w14:paraId="59E639FE" w14:textId="77777777" w:rsidTr="00C5677B">
        <w:trPr>
          <w:trHeight w:val="255"/>
          <w:jc w:val="center"/>
        </w:trPr>
        <w:tc>
          <w:tcPr>
            <w:tcW w:w="993" w:type="dxa"/>
            <w:vMerge/>
            <w:vAlign w:val="center"/>
            <w:hideMark/>
          </w:tcPr>
          <w:p w14:paraId="206CC718"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081E977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18A6AA52"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3,02%</w:t>
            </w:r>
          </w:p>
        </w:tc>
        <w:tc>
          <w:tcPr>
            <w:tcW w:w="851" w:type="dxa"/>
            <w:shd w:val="clear" w:color="auto" w:fill="auto"/>
            <w:noWrap/>
            <w:vAlign w:val="center"/>
            <w:hideMark/>
          </w:tcPr>
          <w:p w14:paraId="4CE0D4B2"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20,94%</w:t>
            </w:r>
          </w:p>
        </w:tc>
        <w:tc>
          <w:tcPr>
            <w:tcW w:w="850" w:type="dxa"/>
            <w:shd w:val="clear" w:color="auto" w:fill="auto"/>
            <w:noWrap/>
            <w:vAlign w:val="center"/>
            <w:hideMark/>
          </w:tcPr>
          <w:p w14:paraId="684C8063"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5.023</w:t>
            </w:r>
          </w:p>
        </w:tc>
      </w:tr>
      <w:tr w:rsidR="0067625C" w:rsidRPr="001707AA" w14:paraId="0E876038" w14:textId="77777777" w:rsidTr="00C5677B">
        <w:trPr>
          <w:trHeight w:val="255"/>
          <w:jc w:val="center"/>
        </w:trPr>
        <w:tc>
          <w:tcPr>
            <w:tcW w:w="993" w:type="dxa"/>
            <w:vMerge/>
            <w:vAlign w:val="center"/>
            <w:hideMark/>
          </w:tcPr>
          <w:p w14:paraId="22F56CC0"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3C59B64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58B281EE"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2,86%</w:t>
            </w:r>
          </w:p>
        </w:tc>
        <w:tc>
          <w:tcPr>
            <w:tcW w:w="851" w:type="dxa"/>
            <w:shd w:val="clear" w:color="auto" w:fill="auto"/>
            <w:noWrap/>
            <w:vAlign w:val="center"/>
            <w:hideMark/>
          </w:tcPr>
          <w:p w14:paraId="532F73E2"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19,54%</w:t>
            </w:r>
          </w:p>
        </w:tc>
        <w:tc>
          <w:tcPr>
            <w:tcW w:w="850" w:type="dxa"/>
            <w:shd w:val="clear" w:color="auto" w:fill="auto"/>
            <w:noWrap/>
            <w:vAlign w:val="center"/>
            <w:hideMark/>
          </w:tcPr>
          <w:p w14:paraId="5E7D7892"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5.125</w:t>
            </w:r>
          </w:p>
        </w:tc>
      </w:tr>
      <w:tr w:rsidR="0067625C" w:rsidRPr="001707AA" w14:paraId="5B343045" w14:textId="77777777" w:rsidTr="00C5677B">
        <w:trPr>
          <w:trHeight w:val="255"/>
          <w:jc w:val="center"/>
        </w:trPr>
        <w:tc>
          <w:tcPr>
            <w:tcW w:w="993" w:type="dxa"/>
            <w:vMerge w:val="restart"/>
            <w:shd w:val="clear" w:color="auto" w:fill="auto"/>
            <w:vAlign w:val="center"/>
            <w:hideMark/>
          </w:tcPr>
          <w:p w14:paraId="0E195D13"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OCBC NISP Tbk.</w:t>
            </w:r>
          </w:p>
        </w:tc>
        <w:tc>
          <w:tcPr>
            <w:tcW w:w="709" w:type="dxa"/>
            <w:shd w:val="clear" w:color="auto" w:fill="auto"/>
            <w:noWrap/>
            <w:vAlign w:val="center"/>
            <w:hideMark/>
          </w:tcPr>
          <w:p w14:paraId="7E14662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6FA01EF0"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2,15%</w:t>
            </w:r>
          </w:p>
        </w:tc>
        <w:tc>
          <w:tcPr>
            <w:tcW w:w="851" w:type="dxa"/>
            <w:shd w:val="clear" w:color="auto" w:fill="auto"/>
            <w:noWrap/>
            <w:vAlign w:val="center"/>
            <w:hideMark/>
          </w:tcPr>
          <w:p w14:paraId="6CCFDAB1"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14,06%</w:t>
            </w:r>
          </w:p>
        </w:tc>
        <w:tc>
          <w:tcPr>
            <w:tcW w:w="850" w:type="dxa"/>
            <w:shd w:val="clear" w:color="auto" w:fill="auto"/>
            <w:noWrap/>
            <w:vAlign w:val="center"/>
            <w:hideMark/>
          </w:tcPr>
          <w:p w14:paraId="7D059BB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850</w:t>
            </w:r>
          </w:p>
        </w:tc>
      </w:tr>
      <w:tr w:rsidR="0067625C" w:rsidRPr="001707AA" w14:paraId="6E370F00" w14:textId="77777777" w:rsidTr="00C5677B">
        <w:trPr>
          <w:trHeight w:val="255"/>
          <w:jc w:val="center"/>
        </w:trPr>
        <w:tc>
          <w:tcPr>
            <w:tcW w:w="993" w:type="dxa"/>
            <w:vMerge/>
            <w:vAlign w:val="center"/>
            <w:hideMark/>
          </w:tcPr>
          <w:p w14:paraId="59929A04"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682B8390"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68630BAB"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1,35%</w:t>
            </w:r>
          </w:p>
        </w:tc>
        <w:tc>
          <w:tcPr>
            <w:tcW w:w="851" w:type="dxa"/>
            <w:shd w:val="clear" w:color="auto" w:fill="auto"/>
            <w:noWrap/>
            <w:vAlign w:val="center"/>
            <w:hideMark/>
          </w:tcPr>
          <w:p w14:paraId="3AC38F9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9,33%</w:t>
            </w:r>
          </w:p>
        </w:tc>
        <w:tc>
          <w:tcPr>
            <w:tcW w:w="850" w:type="dxa"/>
            <w:shd w:val="clear" w:color="auto" w:fill="auto"/>
            <w:noWrap/>
            <w:vAlign w:val="center"/>
            <w:hideMark/>
          </w:tcPr>
          <w:p w14:paraId="7B685FF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820</w:t>
            </w:r>
          </w:p>
        </w:tc>
      </w:tr>
      <w:tr w:rsidR="0067625C" w:rsidRPr="001707AA" w14:paraId="313AAF81" w14:textId="77777777" w:rsidTr="00C5677B">
        <w:trPr>
          <w:trHeight w:val="255"/>
          <w:jc w:val="center"/>
        </w:trPr>
        <w:tc>
          <w:tcPr>
            <w:tcW w:w="993" w:type="dxa"/>
            <w:vMerge/>
            <w:vAlign w:val="center"/>
            <w:hideMark/>
          </w:tcPr>
          <w:p w14:paraId="3B15FAEB"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5547D041"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3F0D2102"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1,18%</w:t>
            </w:r>
          </w:p>
        </w:tc>
        <w:tc>
          <w:tcPr>
            <w:tcW w:w="851" w:type="dxa"/>
            <w:shd w:val="clear" w:color="auto" w:fill="auto"/>
            <w:noWrap/>
            <w:vAlign w:val="center"/>
            <w:hideMark/>
          </w:tcPr>
          <w:p w14:paraId="75B829E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7,79%</w:t>
            </w:r>
          </w:p>
        </w:tc>
        <w:tc>
          <w:tcPr>
            <w:tcW w:w="850" w:type="dxa"/>
            <w:shd w:val="clear" w:color="auto" w:fill="auto"/>
            <w:noWrap/>
            <w:vAlign w:val="center"/>
            <w:hideMark/>
          </w:tcPr>
          <w:p w14:paraId="352D985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570</w:t>
            </w:r>
          </w:p>
        </w:tc>
      </w:tr>
      <w:tr w:rsidR="0067625C" w:rsidRPr="001707AA" w14:paraId="2E2B5BD0" w14:textId="77777777" w:rsidTr="00C5677B">
        <w:trPr>
          <w:trHeight w:val="255"/>
          <w:jc w:val="center"/>
        </w:trPr>
        <w:tc>
          <w:tcPr>
            <w:tcW w:w="993" w:type="dxa"/>
            <w:vMerge/>
            <w:vAlign w:val="center"/>
            <w:hideMark/>
          </w:tcPr>
          <w:p w14:paraId="46469B55"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1DC1E57F"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328DF5E8"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1,39%</w:t>
            </w:r>
          </w:p>
        </w:tc>
        <w:tc>
          <w:tcPr>
            <w:tcW w:w="851" w:type="dxa"/>
            <w:shd w:val="clear" w:color="auto" w:fill="auto"/>
            <w:noWrap/>
            <w:vAlign w:val="center"/>
            <w:hideMark/>
          </w:tcPr>
          <w:p w14:paraId="0B1F84AD"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9,72%</w:t>
            </w:r>
          </w:p>
        </w:tc>
        <w:tc>
          <w:tcPr>
            <w:tcW w:w="850" w:type="dxa"/>
            <w:shd w:val="clear" w:color="auto" w:fill="auto"/>
            <w:noWrap/>
            <w:vAlign w:val="center"/>
            <w:hideMark/>
          </w:tcPr>
          <w:p w14:paraId="53318796"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535</w:t>
            </w:r>
          </w:p>
        </w:tc>
      </w:tr>
      <w:tr w:rsidR="0067625C" w:rsidRPr="001707AA" w14:paraId="05897AFF" w14:textId="77777777" w:rsidTr="00C5677B">
        <w:trPr>
          <w:trHeight w:val="255"/>
          <w:jc w:val="center"/>
        </w:trPr>
        <w:tc>
          <w:tcPr>
            <w:tcW w:w="993" w:type="dxa"/>
            <w:vMerge w:val="restart"/>
            <w:shd w:val="clear" w:color="auto" w:fill="auto"/>
            <w:vAlign w:val="center"/>
            <w:hideMark/>
          </w:tcPr>
          <w:p w14:paraId="25C1B6C1"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Bank Pan Indonesia Tbk.</w:t>
            </w:r>
          </w:p>
        </w:tc>
        <w:tc>
          <w:tcPr>
            <w:tcW w:w="709" w:type="dxa"/>
            <w:shd w:val="clear" w:color="auto" w:fill="auto"/>
            <w:noWrap/>
            <w:vAlign w:val="center"/>
            <w:hideMark/>
          </w:tcPr>
          <w:p w14:paraId="138CC6BC"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2019</w:t>
            </w:r>
          </w:p>
        </w:tc>
        <w:tc>
          <w:tcPr>
            <w:tcW w:w="708" w:type="dxa"/>
            <w:shd w:val="clear" w:color="auto" w:fill="auto"/>
            <w:noWrap/>
            <w:vAlign w:val="center"/>
            <w:hideMark/>
          </w:tcPr>
          <w:p w14:paraId="1AB0CBC1"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1,55%</w:t>
            </w:r>
          </w:p>
        </w:tc>
        <w:tc>
          <w:tcPr>
            <w:tcW w:w="851" w:type="dxa"/>
            <w:shd w:val="clear" w:color="auto" w:fill="auto"/>
            <w:noWrap/>
            <w:vAlign w:val="center"/>
            <w:hideMark/>
          </w:tcPr>
          <w:p w14:paraId="0B855A19"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7,87%</w:t>
            </w:r>
          </w:p>
        </w:tc>
        <w:tc>
          <w:tcPr>
            <w:tcW w:w="850" w:type="dxa"/>
            <w:shd w:val="clear" w:color="auto" w:fill="auto"/>
            <w:noWrap/>
            <w:vAlign w:val="center"/>
            <w:hideMark/>
          </w:tcPr>
          <w:p w14:paraId="15DE204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530</w:t>
            </w:r>
          </w:p>
        </w:tc>
      </w:tr>
      <w:tr w:rsidR="0067625C" w:rsidRPr="001707AA" w14:paraId="37A03FE2" w14:textId="77777777" w:rsidTr="00C5677B">
        <w:trPr>
          <w:trHeight w:val="255"/>
          <w:jc w:val="center"/>
        </w:trPr>
        <w:tc>
          <w:tcPr>
            <w:tcW w:w="993" w:type="dxa"/>
            <w:vMerge/>
            <w:vAlign w:val="center"/>
            <w:hideMark/>
          </w:tcPr>
          <w:p w14:paraId="69F2CED5"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22F5BC6A"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2020</w:t>
            </w:r>
          </w:p>
        </w:tc>
        <w:tc>
          <w:tcPr>
            <w:tcW w:w="708" w:type="dxa"/>
            <w:shd w:val="clear" w:color="auto" w:fill="auto"/>
            <w:noWrap/>
            <w:vAlign w:val="center"/>
            <w:hideMark/>
          </w:tcPr>
          <w:p w14:paraId="4849EBB9"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1,43%</w:t>
            </w:r>
          </w:p>
        </w:tc>
        <w:tc>
          <w:tcPr>
            <w:tcW w:w="851" w:type="dxa"/>
            <w:shd w:val="clear" w:color="auto" w:fill="auto"/>
            <w:noWrap/>
            <w:vAlign w:val="center"/>
            <w:hideMark/>
          </w:tcPr>
          <w:p w14:paraId="56E5016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5,58%</w:t>
            </w:r>
          </w:p>
        </w:tc>
        <w:tc>
          <w:tcPr>
            <w:tcW w:w="850" w:type="dxa"/>
            <w:shd w:val="clear" w:color="auto" w:fill="auto"/>
            <w:noWrap/>
            <w:vAlign w:val="center"/>
            <w:hideMark/>
          </w:tcPr>
          <w:p w14:paraId="2A73CD85"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245</w:t>
            </w:r>
          </w:p>
        </w:tc>
      </w:tr>
      <w:tr w:rsidR="0067625C" w:rsidRPr="001707AA" w14:paraId="3AB335C7" w14:textId="77777777" w:rsidTr="00C5677B">
        <w:trPr>
          <w:trHeight w:val="255"/>
          <w:jc w:val="center"/>
        </w:trPr>
        <w:tc>
          <w:tcPr>
            <w:tcW w:w="993" w:type="dxa"/>
            <w:vMerge/>
            <w:vAlign w:val="center"/>
            <w:hideMark/>
          </w:tcPr>
          <w:p w14:paraId="64ED3523"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7B1C6DEE"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2021</w:t>
            </w:r>
          </w:p>
        </w:tc>
        <w:tc>
          <w:tcPr>
            <w:tcW w:w="708" w:type="dxa"/>
            <w:shd w:val="clear" w:color="auto" w:fill="auto"/>
            <w:noWrap/>
            <w:vAlign w:val="center"/>
            <w:hideMark/>
          </w:tcPr>
          <w:p w14:paraId="0CB24B16"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0,89%</w:t>
            </w:r>
          </w:p>
        </w:tc>
        <w:tc>
          <w:tcPr>
            <w:tcW w:w="851" w:type="dxa"/>
            <w:shd w:val="clear" w:color="auto" w:fill="auto"/>
            <w:noWrap/>
            <w:vAlign w:val="center"/>
            <w:hideMark/>
          </w:tcPr>
          <w:p w14:paraId="2EF735C7"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3,74%</w:t>
            </w:r>
          </w:p>
        </w:tc>
        <w:tc>
          <w:tcPr>
            <w:tcW w:w="850" w:type="dxa"/>
            <w:shd w:val="clear" w:color="auto" w:fill="auto"/>
            <w:noWrap/>
            <w:vAlign w:val="center"/>
            <w:hideMark/>
          </w:tcPr>
          <w:p w14:paraId="5CD6E24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154</w:t>
            </w:r>
          </w:p>
        </w:tc>
      </w:tr>
      <w:tr w:rsidR="0067625C" w:rsidRPr="001707AA" w14:paraId="6B7E6E32" w14:textId="77777777" w:rsidTr="00C5677B">
        <w:trPr>
          <w:trHeight w:val="255"/>
          <w:jc w:val="center"/>
        </w:trPr>
        <w:tc>
          <w:tcPr>
            <w:tcW w:w="993" w:type="dxa"/>
            <w:vMerge/>
            <w:vAlign w:val="center"/>
            <w:hideMark/>
          </w:tcPr>
          <w:p w14:paraId="3C6EFFDD" w14:textId="77777777" w:rsidR="0067625C" w:rsidRPr="001707AA" w:rsidRDefault="0067625C" w:rsidP="00131D07">
            <w:pPr>
              <w:jc w:val="left"/>
              <w:rPr>
                <w:rFonts w:eastAsia="Times New Roman"/>
                <w:color w:val="000000"/>
                <w:sz w:val="18"/>
                <w:szCs w:val="18"/>
                <w:lang w:val="en-ID" w:eastAsia="en-ID"/>
              </w:rPr>
            </w:pPr>
          </w:p>
        </w:tc>
        <w:tc>
          <w:tcPr>
            <w:tcW w:w="709" w:type="dxa"/>
            <w:shd w:val="clear" w:color="auto" w:fill="auto"/>
            <w:noWrap/>
            <w:vAlign w:val="center"/>
            <w:hideMark/>
          </w:tcPr>
          <w:p w14:paraId="095A98F4"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2022</w:t>
            </w:r>
          </w:p>
        </w:tc>
        <w:tc>
          <w:tcPr>
            <w:tcW w:w="708" w:type="dxa"/>
            <w:shd w:val="clear" w:color="auto" w:fill="auto"/>
            <w:noWrap/>
            <w:vAlign w:val="center"/>
            <w:hideMark/>
          </w:tcPr>
          <w:p w14:paraId="73AA900B" w14:textId="77777777" w:rsidR="0067625C" w:rsidRPr="001707AA" w:rsidRDefault="0067625C" w:rsidP="00131D07">
            <w:pPr>
              <w:jc w:val="left"/>
              <w:rPr>
                <w:rFonts w:eastAsia="Times New Roman"/>
                <w:color w:val="000000"/>
                <w:sz w:val="18"/>
                <w:szCs w:val="18"/>
                <w:lang w:val="en-ID" w:eastAsia="en-ID"/>
              </w:rPr>
            </w:pPr>
            <w:r w:rsidRPr="001707AA">
              <w:rPr>
                <w:rFonts w:eastAsia="Times New Roman"/>
                <w:color w:val="000000"/>
                <w:sz w:val="18"/>
                <w:szCs w:val="18"/>
                <w:lang w:val="en-ID" w:eastAsia="en-ID"/>
              </w:rPr>
              <w:t>1,54%</w:t>
            </w:r>
          </w:p>
        </w:tc>
        <w:tc>
          <w:tcPr>
            <w:tcW w:w="851" w:type="dxa"/>
            <w:shd w:val="clear" w:color="auto" w:fill="auto"/>
            <w:noWrap/>
            <w:vAlign w:val="center"/>
            <w:hideMark/>
          </w:tcPr>
          <w:p w14:paraId="7164FA2B"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6,45%</w:t>
            </w:r>
          </w:p>
        </w:tc>
        <w:tc>
          <w:tcPr>
            <w:tcW w:w="850" w:type="dxa"/>
            <w:shd w:val="clear" w:color="auto" w:fill="auto"/>
            <w:noWrap/>
            <w:vAlign w:val="center"/>
            <w:hideMark/>
          </w:tcPr>
          <w:p w14:paraId="49DE2D58" w14:textId="77777777" w:rsidR="0067625C" w:rsidRPr="001707AA" w:rsidRDefault="0067625C" w:rsidP="00131D07">
            <w:pPr>
              <w:jc w:val="center"/>
              <w:rPr>
                <w:rFonts w:eastAsia="Times New Roman"/>
                <w:color w:val="000000"/>
                <w:sz w:val="18"/>
                <w:szCs w:val="18"/>
                <w:lang w:val="en-ID" w:eastAsia="en-ID"/>
              </w:rPr>
            </w:pPr>
            <w:r w:rsidRPr="001707AA">
              <w:rPr>
                <w:rFonts w:eastAsia="Times New Roman"/>
                <w:color w:val="000000"/>
                <w:sz w:val="18"/>
                <w:szCs w:val="18"/>
                <w:lang w:val="en-ID" w:eastAsia="en-ID"/>
              </w:rPr>
              <w:t>133</w:t>
            </w:r>
          </w:p>
        </w:tc>
      </w:tr>
    </w:tbl>
    <w:p w14:paraId="6C565D36" w14:textId="77777777" w:rsidR="00EC536B" w:rsidRDefault="00EC536B" w:rsidP="00EC536B">
      <w:pPr>
        <w:widowControl w:val="0"/>
        <w:autoSpaceDE w:val="0"/>
        <w:spacing w:line="247" w:lineRule="auto"/>
        <w:ind w:right="-1"/>
        <w:rPr>
          <w:spacing w:val="-2"/>
        </w:rPr>
      </w:pPr>
      <w:r w:rsidRPr="001707AA">
        <w:rPr>
          <w:spacing w:val="-2"/>
          <w:sz w:val="18"/>
          <w:szCs w:val="18"/>
        </w:rPr>
        <w:t>Sumber : Bursa Efek Indonesia</w:t>
      </w:r>
    </w:p>
    <w:p w14:paraId="3CD9ABD0" w14:textId="77777777" w:rsidR="00D47442" w:rsidRDefault="00D47442" w:rsidP="00EC536B">
      <w:pPr>
        <w:widowControl w:val="0"/>
        <w:autoSpaceDE w:val="0"/>
        <w:spacing w:line="247" w:lineRule="auto"/>
        <w:ind w:right="-1"/>
        <w:rPr>
          <w:spacing w:val="-2"/>
        </w:rPr>
      </w:pPr>
    </w:p>
    <w:p w14:paraId="4842D3EF" w14:textId="77777777" w:rsidR="00EC536B" w:rsidRPr="004D622D" w:rsidRDefault="00EC536B" w:rsidP="006141FA">
      <w:pPr>
        <w:ind w:firstLine="567"/>
        <w:rPr>
          <w:lang w:val="id-ID"/>
        </w:rPr>
      </w:pPr>
      <w:r w:rsidRPr="004D622D">
        <w:rPr>
          <w:lang w:val="id-ID"/>
        </w:rPr>
        <w:t>Nilai rata-rata ROA seluruh perusahaan sampel selama 4 tahun adalah 1,68% dan memiliki rata-rata ROA tertinggi sebesar 2,82% pada PT. Bank Central Asia Tbk, sedangkan rata-rata terendah dipegang oleh PT. Bank Permata Tbk sebesar 0,65%</w:t>
      </w:r>
    </w:p>
    <w:p w14:paraId="5B3636B7" w14:textId="03FD5480" w:rsidR="00EC536B" w:rsidRDefault="00EC536B" w:rsidP="001D3CD5">
      <w:pPr>
        <w:rPr>
          <w:lang w:val="id-ID"/>
        </w:rPr>
      </w:pPr>
      <w:r w:rsidRPr="004D622D">
        <w:rPr>
          <w:lang w:val="id-ID"/>
        </w:rPr>
        <w:t>Rata-rata ROA dari tahun 2019-2022 terus mengalami peningkatan walaupun sempat mengalami penurunan pada tahun 2020 dan 2021 namun ROA kembali meningkat pada tahun 2022 sebesar 1,99%, maka hal ini menunjukkan bahwa perusahaan harus lebih efektif dalam memanfaatkan aset yang dimiliki untuk menghasilkan laba.</w:t>
      </w:r>
      <w:r w:rsidR="001D3CD5">
        <w:t xml:space="preserve"> </w:t>
      </w:r>
      <w:r w:rsidRPr="004D622D">
        <w:rPr>
          <w:lang w:val="id-ID"/>
        </w:rPr>
        <w:t>Nilai rata-rata ROE seluruh perusahaan sampel selama 4 tahun adalah 13,88% dan memiliki rata-rata ROE tertinggi sebesar 53,97% pada PT. Bank Mandiri (Persero) Tbk, sedangkan rata-rata terendah dipegang oleh PT. Bank Permata Tbk sebesar 4,25%</w:t>
      </w:r>
      <w:r>
        <w:rPr>
          <w:lang w:val="id-ID"/>
        </w:rPr>
        <w:t xml:space="preserve">. </w:t>
      </w:r>
      <w:r w:rsidRPr="004D622D">
        <w:rPr>
          <w:lang w:val="id-ID"/>
        </w:rPr>
        <w:t>Rata-rata ROA dari tahun 2019-2022 terus mengalami peningkatan walaupun sempat mengalami penurunan pada tahun 2020 dan 2021 namun ROA kembali meningkat pada tahun 2022 sebesar 12,60%, maka hal ini menunjukkan bahwa perusahaan harus lebih efektif dalam memanfaatkan ekuitas yang dimiliki untuk menghasilkan laba</w:t>
      </w:r>
      <w:r w:rsidR="00457E14">
        <w:t xml:space="preserve">. </w:t>
      </w:r>
      <w:r w:rsidRPr="004D622D">
        <w:rPr>
          <w:lang w:val="id-ID"/>
        </w:rPr>
        <w:t xml:space="preserve">Nilai rata-rata harga saham seluruh perusahaan sampel selama tahun pengamatan sebesar Rp. 3.703. perusahaan sampel yang memiliki rata-rata harga tertinggi selama tahunpengamatan adalah PT. Bank Central Asia Tbk. Yaitu sebesar Rp. 7.329 sedangkan </w:t>
      </w:r>
      <w:r w:rsidRPr="004D622D">
        <w:rPr>
          <w:lang w:val="id-ID"/>
        </w:rPr>
        <w:t>nilai rata-rata terendah dipegang oleh PT. Bank PAN Indonesia Tbk Rp. 266</w:t>
      </w:r>
      <w:r>
        <w:rPr>
          <w:lang w:val="id-ID"/>
        </w:rPr>
        <w:t xml:space="preserve">. </w:t>
      </w:r>
      <w:r w:rsidRPr="004D622D">
        <w:rPr>
          <w:lang w:val="id-ID"/>
        </w:rPr>
        <w:t>Rata-rata harga saham dari tahun 2019-2022 terus mengalami peningkatan walaipun sempat mengalami penurunan pada tahun 2020 dan 2021 namun harga saham kembali meningkat pada tahun 2022 sebesar Rp 3.858, maka hal ini menunjukkan kinerja perusahaan mengalami kenaikan.</w:t>
      </w:r>
    </w:p>
    <w:p w14:paraId="5BC2E513" w14:textId="70294122" w:rsidR="00EC536B" w:rsidRDefault="00AB35AD" w:rsidP="00EC536B">
      <w:pPr>
        <w:pStyle w:val="Heading3"/>
        <w:numPr>
          <w:ilvl w:val="0"/>
          <w:numId w:val="0"/>
        </w:numPr>
        <w:spacing w:before="0" w:line="240" w:lineRule="auto"/>
        <w:ind w:left="720" w:hanging="720"/>
        <w:rPr>
          <w:b w:val="0"/>
          <w:bCs/>
          <w:sz w:val="20"/>
          <w:szCs w:val="20"/>
        </w:rPr>
      </w:pPr>
      <w:bookmarkStart w:id="1" w:name="_Toc136900757"/>
      <w:r>
        <w:rPr>
          <w:b w:val="0"/>
          <w:bCs/>
          <w:sz w:val="20"/>
          <w:szCs w:val="20"/>
        </w:rPr>
        <w:t xml:space="preserve">Berikut hasil data </w:t>
      </w:r>
      <w:r w:rsidR="00EC536B" w:rsidRPr="00D3574D">
        <w:rPr>
          <w:b w:val="0"/>
          <w:bCs/>
          <w:sz w:val="20"/>
          <w:szCs w:val="20"/>
          <w:lang w:val="id-ID"/>
        </w:rPr>
        <w:t>Uji Asumsi Klasik</w:t>
      </w:r>
      <w:bookmarkEnd w:id="1"/>
      <w:r>
        <w:rPr>
          <w:b w:val="0"/>
          <w:bCs/>
          <w:sz w:val="20"/>
          <w:szCs w:val="20"/>
        </w:rPr>
        <w:t>:</w:t>
      </w:r>
    </w:p>
    <w:p w14:paraId="1F39D52E" w14:textId="77777777" w:rsidR="008567D6" w:rsidRPr="008567D6" w:rsidRDefault="008567D6" w:rsidP="008567D6"/>
    <w:p w14:paraId="0A440717" w14:textId="09BDFF8A" w:rsidR="00043A00" w:rsidRDefault="008B7D30" w:rsidP="00EC536B">
      <w:pPr>
        <w:contextualSpacing/>
        <w:rPr>
          <w:lang w:val="id-ID"/>
        </w:rPr>
      </w:pPr>
      <w:r>
        <w:t>1. U</w:t>
      </w:r>
      <w:r w:rsidR="00EC536B" w:rsidRPr="004D622D">
        <w:rPr>
          <w:lang w:val="id-ID"/>
        </w:rPr>
        <w:t>ji Normalitas</w:t>
      </w:r>
    </w:p>
    <w:p w14:paraId="1192FCD7" w14:textId="77777777" w:rsidR="00EC536B" w:rsidRPr="00043A00" w:rsidRDefault="00EC536B" w:rsidP="00EC536B">
      <w:pPr>
        <w:contextualSpacing/>
        <w:jc w:val="center"/>
        <w:rPr>
          <w:sz w:val="18"/>
          <w:szCs w:val="18"/>
          <w:lang w:val="id-ID"/>
        </w:rPr>
      </w:pPr>
      <w:r w:rsidRPr="00043A00">
        <w:rPr>
          <w:sz w:val="18"/>
          <w:szCs w:val="18"/>
          <w:lang w:val="id-ID"/>
        </w:rPr>
        <w:t>Tabel 3. Hasil uji normalitas</w:t>
      </w:r>
    </w:p>
    <w:tbl>
      <w:tblPr>
        <w:tblW w:w="453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83"/>
        <w:gridCol w:w="806"/>
        <w:gridCol w:w="1842"/>
      </w:tblGrid>
      <w:tr w:rsidR="00EC536B" w:rsidRPr="00F003D8" w14:paraId="7BEF6819" w14:textId="77777777" w:rsidTr="00043A00">
        <w:trPr>
          <w:cantSplit/>
        </w:trPr>
        <w:tc>
          <w:tcPr>
            <w:tcW w:w="4531" w:type="dxa"/>
            <w:gridSpan w:val="3"/>
            <w:shd w:val="clear" w:color="auto" w:fill="FFFFFF"/>
            <w:vAlign w:val="center"/>
          </w:tcPr>
          <w:p w14:paraId="4EFA85E4" w14:textId="77777777" w:rsidR="00EC536B" w:rsidRPr="00F003D8" w:rsidRDefault="00EC536B" w:rsidP="006A68DC">
            <w:pPr>
              <w:autoSpaceDE w:val="0"/>
              <w:autoSpaceDN w:val="0"/>
              <w:adjustRightInd w:val="0"/>
              <w:ind w:left="60" w:right="60"/>
              <w:jc w:val="center"/>
              <w:rPr>
                <w:color w:val="000000"/>
                <w:sz w:val="18"/>
                <w:szCs w:val="18"/>
              </w:rPr>
            </w:pPr>
            <w:r w:rsidRPr="00F003D8">
              <w:rPr>
                <w:color w:val="000000"/>
                <w:sz w:val="18"/>
                <w:szCs w:val="18"/>
              </w:rPr>
              <w:t>One-Sample Kolmogorov-Smirnov Test</w:t>
            </w:r>
          </w:p>
        </w:tc>
      </w:tr>
      <w:tr w:rsidR="00EC536B" w:rsidRPr="00F003D8" w14:paraId="080D91D3" w14:textId="77777777" w:rsidTr="00043A00">
        <w:trPr>
          <w:cantSplit/>
        </w:trPr>
        <w:tc>
          <w:tcPr>
            <w:tcW w:w="2689" w:type="dxa"/>
            <w:gridSpan w:val="2"/>
            <w:shd w:val="clear" w:color="auto" w:fill="FFFFFF"/>
            <w:vAlign w:val="bottom"/>
          </w:tcPr>
          <w:p w14:paraId="2A7972FB" w14:textId="77777777" w:rsidR="00EC536B" w:rsidRPr="00F003D8" w:rsidRDefault="00EC536B" w:rsidP="006A68DC">
            <w:pPr>
              <w:autoSpaceDE w:val="0"/>
              <w:autoSpaceDN w:val="0"/>
              <w:adjustRightInd w:val="0"/>
              <w:jc w:val="left"/>
              <w:rPr>
                <w:sz w:val="18"/>
                <w:szCs w:val="18"/>
              </w:rPr>
            </w:pPr>
          </w:p>
        </w:tc>
        <w:tc>
          <w:tcPr>
            <w:tcW w:w="1842" w:type="dxa"/>
            <w:shd w:val="clear" w:color="auto" w:fill="FFFFFF"/>
            <w:vAlign w:val="bottom"/>
          </w:tcPr>
          <w:p w14:paraId="103CD03E" w14:textId="77777777" w:rsidR="00EC536B" w:rsidRPr="00F003D8" w:rsidRDefault="00EC536B" w:rsidP="006A68DC">
            <w:pPr>
              <w:autoSpaceDE w:val="0"/>
              <w:autoSpaceDN w:val="0"/>
              <w:adjustRightInd w:val="0"/>
              <w:ind w:left="60" w:right="60"/>
              <w:jc w:val="center"/>
              <w:rPr>
                <w:color w:val="000000"/>
                <w:sz w:val="18"/>
                <w:szCs w:val="18"/>
              </w:rPr>
            </w:pPr>
            <w:r w:rsidRPr="00F003D8">
              <w:rPr>
                <w:color w:val="000000"/>
                <w:sz w:val="18"/>
                <w:szCs w:val="18"/>
              </w:rPr>
              <w:t>Unstandardized Residual</w:t>
            </w:r>
          </w:p>
        </w:tc>
      </w:tr>
      <w:tr w:rsidR="00EC536B" w:rsidRPr="00F003D8" w14:paraId="4794FBF1" w14:textId="77777777" w:rsidTr="00043A00">
        <w:trPr>
          <w:cantSplit/>
        </w:trPr>
        <w:tc>
          <w:tcPr>
            <w:tcW w:w="2689" w:type="dxa"/>
            <w:gridSpan w:val="2"/>
            <w:shd w:val="clear" w:color="auto" w:fill="FFFFFF"/>
          </w:tcPr>
          <w:p w14:paraId="0BA00114"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N</w:t>
            </w:r>
          </w:p>
        </w:tc>
        <w:tc>
          <w:tcPr>
            <w:tcW w:w="1842" w:type="dxa"/>
            <w:shd w:val="clear" w:color="auto" w:fill="FFFFFF"/>
            <w:vAlign w:val="center"/>
          </w:tcPr>
          <w:p w14:paraId="1456234D"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40</w:t>
            </w:r>
          </w:p>
        </w:tc>
      </w:tr>
      <w:tr w:rsidR="00EC536B" w:rsidRPr="00F003D8" w14:paraId="25FE467C" w14:textId="77777777" w:rsidTr="00043A00">
        <w:trPr>
          <w:cantSplit/>
        </w:trPr>
        <w:tc>
          <w:tcPr>
            <w:tcW w:w="1883" w:type="dxa"/>
            <w:vMerge w:val="restart"/>
            <w:shd w:val="clear" w:color="auto" w:fill="FFFFFF"/>
          </w:tcPr>
          <w:p w14:paraId="39922484"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Normal Parameters</w:t>
            </w:r>
            <w:r w:rsidRPr="00F003D8">
              <w:rPr>
                <w:color w:val="000000"/>
                <w:sz w:val="18"/>
                <w:szCs w:val="18"/>
                <w:vertAlign w:val="superscript"/>
              </w:rPr>
              <w:t>a,b</w:t>
            </w:r>
          </w:p>
        </w:tc>
        <w:tc>
          <w:tcPr>
            <w:tcW w:w="806" w:type="dxa"/>
            <w:shd w:val="clear" w:color="auto" w:fill="FFFFFF"/>
          </w:tcPr>
          <w:p w14:paraId="368FBF3C"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Mean</w:t>
            </w:r>
          </w:p>
        </w:tc>
        <w:tc>
          <w:tcPr>
            <w:tcW w:w="1842" w:type="dxa"/>
            <w:shd w:val="clear" w:color="auto" w:fill="FFFFFF"/>
            <w:vAlign w:val="center"/>
          </w:tcPr>
          <w:p w14:paraId="43A82E1F"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,0000000</w:t>
            </w:r>
          </w:p>
        </w:tc>
      </w:tr>
      <w:tr w:rsidR="00EC536B" w:rsidRPr="00F003D8" w14:paraId="0E3E4C89" w14:textId="77777777" w:rsidTr="00043A00">
        <w:trPr>
          <w:cantSplit/>
        </w:trPr>
        <w:tc>
          <w:tcPr>
            <w:tcW w:w="1883" w:type="dxa"/>
            <w:vMerge/>
            <w:shd w:val="clear" w:color="auto" w:fill="FFFFFF"/>
          </w:tcPr>
          <w:p w14:paraId="26E2DA1E" w14:textId="77777777" w:rsidR="00EC536B" w:rsidRPr="00F003D8" w:rsidRDefault="00EC536B" w:rsidP="006A68DC">
            <w:pPr>
              <w:autoSpaceDE w:val="0"/>
              <w:autoSpaceDN w:val="0"/>
              <w:adjustRightInd w:val="0"/>
              <w:jc w:val="left"/>
              <w:rPr>
                <w:color w:val="000000"/>
                <w:sz w:val="18"/>
                <w:szCs w:val="18"/>
              </w:rPr>
            </w:pPr>
          </w:p>
        </w:tc>
        <w:tc>
          <w:tcPr>
            <w:tcW w:w="806" w:type="dxa"/>
            <w:shd w:val="clear" w:color="auto" w:fill="FFFFFF"/>
          </w:tcPr>
          <w:p w14:paraId="67D666EB"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Std. Deviation</w:t>
            </w:r>
          </w:p>
        </w:tc>
        <w:tc>
          <w:tcPr>
            <w:tcW w:w="1842" w:type="dxa"/>
            <w:shd w:val="clear" w:color="auto" w:fill="FFFFFF"/>
            <w:vAlign w:val="center"/>
          </w:tcPr>
          <w:p w14:paraId="27374427"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2315,20916660</w:t>
            </w:r>
          </w:p>
        </w:tc>
      </w:tr>
      <w:tr w:rsidR="00EC536B" w:rsidRPr="00F003D8" w14:paraId="7FF25ADE" w14:textId="77777777" w:rsidTr="00043A00">
        <w:trPr>
          <w:cantSplit/>
        </w:trPr>
        <w:tc>
          <w:tcPr>
            <w:tcW w:w="1883" w:type="dxa"/>
            <w:vMerge w:val="restart"/>
            <w:shd w:val="clear" w:color="auto" w:fill="FFFFFF"/>
          </w:tcPr>
          <w:p w14:paraId="070AD85F"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Most Extreme Differences</w:t>
            </w:r>
          </w:p>
        </w:tc>
        <w:tc>
          <w:tcPr>
            <w:tcW w:w="806" w:type="dxa"/>
            <w:shd w:val="clear" w:color="auto" w:fill="FFFFFF"/>
          </w:tcPr>
          <w:p w14:paraId="461B7B9E"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Absolute</w:t>
            </w:r>
          </w:p>
        </w:tc>
        <w:tc>
          <w:tcPr>
            <w:tcW w:w="1842" w:type="dxa"/>
            <w:shd w:val="clear" w:color="auto" w:fill="FFFFFF"/>
            <w:vAlign w:val="center"/>
          </w:tcPr>
          <w:p w14:paraId="276244B3"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,111</w:t>
            </w:r>
          </w:p>
        </w:tc>
      </w:tr>
      <w:tr w:rsidR="00EC536B" w:rsidRPr="00F003D8" w14:paraId="3F383C34" w14:textId="77777777" w:rsidTr="00043A00">
        <w:trPr>
          <w:cantSplit/>
        </w:trPr>
        <w:tc>
          <w:tcPr>
            <w:tcW w:w="1883" w:type="dxa"/>
            <w:vMerge/>
            <w:shd w:val="clear" w:color="auto" w:fill="FFFFFF"/>
          </w:tcPr>
          <w:p w14:paraId="0F9500AB" w14:textId="77777777" w:rsidR="00EC536B" w:rsidRPr="00F003D8" w:rsidRDefault="00EC536B" w:rsidP="006A68DC">
            <w:pPr>
              <w:autoSpaceDE w:val="0"/>
              <w:autoSpaceDN w:val="0"/>
              <w:adjustRightInd w:val="0"/>
              <w:jc w:val="left"/>
              <w:rPr>
                <w:color w:val="000000"/>
                <w:sz w:val="18"/>
                <w:szCs w:val="18"/>
              </w:rPr>
            </w:pPr>
          </w:p>
        </w:tc>
        <w:tc>
          <w:tcPr>
            <w:tcW w:w="806" w:type="dxa"/>
            <w:shd w:val="clear" w:color="auto" w:fill="FFFFFF"/>
          </w:tcPr>
          <w:p w14:paraId="62476A13"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Positive</w:t>
            </w:r>
          </w:p>
        </w:tc>
        <w:tc>
          <w:tcPr>
            <w:tcW w:w="1842" w:type="dxa"/>
            <w:shd w:val="clear" w:color="auto" w:fill="FFFFFF"/>
            <w:vAlign w:val="center"/>
          </w:tcPr>
          <w:p w14:paraId="68BD3F74"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,111</w:t>
            </w:r>
          </w:p>
        </w:tc>
      </w:tr>
      <w:tr w:rsidR="00EC536B" w:rsidRPr="00F003D8" w14:paraId="4F879078" w14:textId="77777777" w:rsidTr="00043A00">
        <w:trPr>
          <w:cantSplit/>
        </w:trPr>
        <w:tc>
          <w:tcPr>
            <w:tcW w:w="1883" w:type="dxa"/>
            <w:vMerge/>
            <w:shd w:val="clear" w:color="auto" w:fill="FFFFFF"/>
          </w:tcPr>
          <w:p w14:paraId="6B6A626B" w14:textId="77777777" w:rsidR="00EC536B" w:rsidRPr="00F003D8" w:rsidRDefault="00EC536B" w:rsidP="006A68DC">
            <w:pPr>
              <w:autoSpaceDE w:val="0"/>
              <w:autoSpaceDN w:val="0"/>
              <w:adjustRightInd w:val="0"/>
              <w:jc w:val="left"/>
              <w:rPr>
                <w:color w:val="000000"/>
                <w:sz w:val="18"/>
                <w:szCs w:val="18"/>
              </w:rPr>
            </w:pPr>
          </w:p>
        </w:tc>
        <w:tc>
          <w:tcPr>
            <w:tcW w:w="806" w:type="dxa"/>
            <w:shd w:val="clear" w:color="auto" w:fill="FFFFFF"/>
          </w:tcPr>
          <w:p w14:paraId="6B4E804E"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Negative</w:t>
            </w:r>
          </w:p>
        </w:tc>
        <w:tc>
          <w:tcPr>
            <w:tcW w:w="1842" w:type="dxa"/>
            <w:shd w:val="clear" w:color="auto" w:fill="FFFFFF"/>
            <w:vAlign w:val="center"/>
          </w:tcPr>
          <w:p w14:paraId="3D9D1DA8"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-,070</w:t>
            </w:r>
          </w:p>
        </w:tc>
      </w:tr>
      <w:tr w:rsidR="00EC536B" w:rsidRPr="00F003D8" w14:paraId="6F68C493" w14:textId="77777777" w:rsidTr="00043A00">
        <w:trPr>
          <w:cantSplit/>
        </w:trPr>
        <w:tc>
          <w:tcPr>
            <w:tcW w:w="2689" w:type="dxa"/>
            <w:gridSpan w:val="2"/>
            <w:shd w:val="clear" w:color="auto" w:fill="FFFFFF"/>
          </w:tcPr>
          <w:p w14:paraId="1EBE2EA7"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Test Statistic</w:t>
            </w:r>
          </w:p>
        </w:tc>
        <w:tc>
          <w:tcPr>
            <w:tcW w:w="1842" w:type="dxa"/>
            <w:shd w:val="clear" w:color="auto" w:fill="FFFFFF"/>
            <w:vAlign w:val="center"/>
          </w:tcPr>
          <w:p w14:paraId="01107518"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,111</w:t>
            </w:r>
          </w:p>
        </w:tc>
      </w:tr>
      <w:tr w:rsidR="00EC536B" w:rsidRPr="00F003D8" w14:paraId="6233D236" w14:textId="77777777" w:rsidTr="00043A00">
        <w:trPr>
          <w:cantSplit/>
        </w:trPr>
        <w:tc>
          <w:tcPr>
            <w:tcW w:w="2689" w:type="dxa"/>
            <w:gridSpan w:val="2"/>
            <w:tcBorders>
              <w:bottom w:val="nil"/>
            </w:tcBorders>
            <w:shd w:val="clear" w:color="auto" w:fill="FFFFFF"/>
          </w:tcPr>
          <w:p w14:paraId="214A37B6" w14:textId="77777777" w:rsidR="00EC536B" w:rsidRPr="00F003D8" w:rsidRDefault="00EC536B" w:rsidP="006A68DC">
            <w:pPr>
              <w:autoSpaceDE w:val="0"/>
              <w:autoSpaceDN w:val="0"/>
              <w:adjustRightInd w:val="0"/>
              <w:ind w:left="60" w:right="60"/>
              <w:jc w:val="left"/>
              <w:rPr>
                <w:color w:val="000000"/>
                <w:sz w:val="18"/>
                <w:szCs w:val="18"/>
              </w:rPr>
            </w:pPr>
            <w:r w:rsidRPr="00F003D8">
              <w:rPr>
                <w:color w:val="000000"/>
                <w:sz w:val="18"/>
                <w:szCs w:val="18"/>
              </w:rPr>
              <w:t>Asymp. Sig. (2-tailed)</w:t>
            </w:r>
          </w:p>
        </w:tc>
        <w:tc>
          <w:tcPr>
            <w:tcW w:w="1842" w:type="dxa"/>
            <w:tcBorders>
              <w:bottom w:val="nil"/>
            </w:tcBorders>
            <w:shd w:val="clear" w:color="auto" w:fill="FFFFFF"/>
            <w:vAlign w:val="center"/>
          </w:tcPr>
          <w:p w14:paraId="37480D52" w14:textId="77777777" w:rsidR="00EC536B" w:rsidRPr="00F003D8" w:rsidRDefault="00EC536B" w:rsidP="006A68DC">
            <w:pPr>
              <w:autoSpaceDE w:val="0"/>
              <w:autoSpaceDN w:val="0"/>
              <w:adjustRightInd w:val="0"/>
              <w:ind w:left="60" w:right="60"/>
              <w:jc w:val="right"/>
              <w:rPr>
                <w:color w:val="000000"/>
                <w:sz w:val="18"/>
                <w:szCs w:val="18"/>
              </w:rPr>
            </w:pPr>
            <w:r w:rsidRPr="00F003D8">
              <w:rPr>
                <w:color w:val="000000"/>
                <w:sz w:val="18"/>
                <w:szCs w:val="18"/>
              </w:rPr>
              <w:t>,200</w:t>
            </w:r>
            <w:r w:rsidRPr="00F003D8">
              <w:rPr>
                <w:color w:val="000000"/>
                <w:sz w:val="18"/>
                <w:szCs w:val="18"/>
                <w:vertAlign w:val="superscript"/>
              </w:rPr>
              <w:t>c,d</w:t>
            </w:r>
          </w:p>
        </w:tc>
      </w:tr>
      <w:tr w:rsidR="00EC536B" w:rsidRPr="00F003D8" w14:paraId="1B53257C" w14:textId="77777777" w:rsidTr="00043A00">
        <w:trPr>
          <w:cantSplit/>
        </w:trPr>
        <w:tc>
          <w:tcPr>
            <w:tcW w:w="4531" w:type="dxa"/>
            <w:gridSpan w:val="3"/>
            <w:tcBorders>
              <w:top w:val="nil"/>
              <w:bottom w:val="nil"/>
            </w:tcBorders>
            <w:shd w:val="clear" w:color="auto" w:fill="FFFFFF"/>
          </w:tcPr>
          <w:p w14:paraId="79145022" w14:textId="77777777" w:rsidR="00EC536B" w:rsidRPr="00F003D8" w:rsidRDefault="00EC536B" w:rsidP="006A68DC">
            <w:pPr>
              <w:autoSpaceDE w:val="0"/>
              <w:autoSpaceDN w:val="0"/>
              <w:adjustRightInd w:val="0"/>
              <w:ind w:left="142" w:right="60"/>
              <w:jc w:val="left"/>
              <w:rPr>
                <w:color w:val="000000"/>
                <w:sz w:val="18"/>
                <w:szCs w:val="18"/>
              </w:rPr>
            </w:pPr>
            <w:r w:rsidRPr="00F003D8">
              <w:rPr>
                <w:color w:val="000000"/>
                <w:sz w:val="18"/>
                <w:szCs w:val="18"/>
              </w:rPr>
              <w:t>a. Test distribution is Normal.</w:t>
            </w:r>
          </w:p>
        </w:tc>
      </w:tr>
      <w:tr w:rsidR="00EC536B" w:rsidRPr="00F003D8" w14:paraId="0DC10498" w14:textId="77777777" w:rsidTr="00043A00">
        <w:trPr>
          <w:cantSplit/>
        </w:trPr>
        <w:tc>
          <w:tcPr>
            <w:tcW w:w="4531" w:type="dxa"/>
            <w:gridSpan w:val="3"/>
            <w:tcBorders>
              <w:top w:val="nil"/>
              <w:bottom w:val="nil"/>
            </w:tcBorders>
            <w:shd w:val="clear" w:color="auto" w:fill="FFFFFF"/>
          </w:tcPr>
          <w:p w14:paraId="5FD1C6B5" w14:textId="77777777" w:rsidR="00EC536B" w:rsidRPr="00F003D8" w:rsidRDefault="00EC536B" w:rsidP="006A68DC">
            <w:pPr>
              <w:autoSpaceDE w:val="0"/>
              <w:autoSpaceDN w:val="0"/>
              <w:adjustRightInd w:val="0"/>
              <w:ind w:left="142" w:right="60"/>
              <w:jc w:val="left"/>
              <w:rPr>
                <w:color w:val="000000"/>
                <w:sz w:val="18"/>
                <w:szCs w:val="18"/>
              </w:rPr>
            </w:pPr>
            <w:r w:rsidRPr="00F003D8">
              <w:rPr>
                <w:color w:val="000000"/>
                <w:sz w:val="18"/>
                <w:szCs w:val="18"/>
              </w:rPr>
              <w:t>b. Calculated from data.</w:t>
            </w:r>
          </w:p>
        </w:tc>
      </w:tr>
    </w:tbl>
    <w:p w14:paraId="40D9F1D7" w14:textId="77777777" w:rsidR="00EC536B" w:rsidRDefault="00EC536B" w:rsidP="00EC536B">
      <w:pPr>
        <w:rPr>
          <w:szCs w:val="24"/>
          <w:lang w:val="id-ID"/>
        </w:rPr>
      </w:pPr>
      <w:r w:rsidRPr="00043A00">
        <w:rPr>
          <w:sz w:val="18"/>
          <w:szCs w:val="18"/>
        </w:rPr>
        <w:t xml:space="preserve">Sumber : </w:t>
      </w:r>
      <w:r w:rsidRPr="00043A00">
        <w:rPr>
          <w:sz w:val="18"/>
          <w:szCs w:val="18"/>
          <w:lang w:val="id-ID"/>
        </w:rPr>
        <w:t>(Hasil Olah Data SPSS v22</w:t>
      </w:r>
      <w:r w:rsidRPr="00043A00">
        <w:rPr>
          <w:sz w:val="18"/>
          <w:szCs w:val="18"/>
        </w:rPr>
        <w:t>, 2023</w:t>
      </w:r>
      <w:r w:rsidRPr="00043A00">
        <w:rPr>
          <w:sz w:val="18"/>
          <w:szCs w:val="18"/>
          <w:lang w:val="id-ID"/>
        </w:rPr>
        <w:t>)</w:t>
      </w:r>
    </w:p>
    <w:p w14:paraId="107AB8B1" w14:textId="77777777" w:rsidR="001707AA" w:rsidRDefault="001707AA" w:rsidP="00EC536B">
      <w:pPr>
        <w:rPr>
          <w:szCs w:val="24"/>
          <w:lang w:val="id-ID"/>
        </w:rPr>
      </w:pPr>
    </w:p>
    <w:p w14:paraId="273E8854" w14:textId="77777777" w:rsidR="00B71904" w:rsidRDefault="00EC536B" w:rsidP="006141FA">
      <w:pPr>
        <w:ind w:firstLine="567"/>
        <w:rPr>
          <w:iCs/>
          <w:szCs w:val="24"/>
        </w:rPr>
      </w:pPr>
      <w:r>
        <w:rPr>
          <w:iCs/>
          <w:szCs w:val="24"/>
        </w:rPr>
        <w:t>Berdasarkan tabel 3</w:t>
      </w:r>
      <w:r w:rsidRPr="004D622D">
        <w:rPr>
          <w:iCs/>
          <w:szCs w:val="24"/>
        </w:rPr>
        <w:t xml:space="preserve"> hasil uji normalitas dengan menggunakan uji one sample Kolmogorov-Smirnov diperoleh nilai</w:t>
      </w:r>
      <w:r w:rsidRPr="004D622D">
        <w:rPr>
          <w:iCs/>
          <w:szCs w:val="24"/>
          <w:lang w:val="id-ID"/>
        </w:rPr>
        <w:t xml:space="preserve"> </w:t>
      </w:r>
      <w:r w:rsidRPr="004D622D">
        <w:rPr>
          <w:iCs/>
          <w:szCs w:val="24"/>
        </w:rPr>
        <w:t xml:space="preserve"> Kolmogorov-Smirnov untuk variabel residual sebesar 0,111 dan untuk nilai Asymp. sig. (2-tailed) diperoleh nilai 0,200 lebih besar dari 0,05.</w:t>
      </w:r>
      <w:r w:rsidR="009766B1">
        <w:rPr>
          <w:iCs/>
          <w:szCs w:val="24"/>
        </w:rPr>
        <w:t xml:space="preserve"> </w:t>
      </w:r>
    </w:p>
    <w:p w14:paraId="272C29C6" w14:textId="2D0B82FE" w:rsidR="00B71904" w:rsidRDefault="00EC536B" w:rsidP="00B71904">
      <w:pPr>
        <w:rPr>
          <w:iCs/>
          <w:szCs w:val="24"/>
        </w:rPr>
      </w:pPr>
      <w:r w:rsidRPr="004D622D">
        <w:rPr>
          <w:iCs/>
          <w:szCs w:val="24"/>
        </w:rPr>
        <w:t xml:space="preserve">Hal </w:t>
      </w:r>
      <w:r>
        <w:rPr>
          <w:iCs/>
          <w:szCs w:val="24"/>
        </w:rPr>
        <w:t>i</w:t>
      </w:r>
      <w:r w:rsidRPr="004D622D">
        <w:rPr>
          <w:iCs/>
          <w:szCs w:val="24"/>
        </w:rPr>
        <w:t>ni</w:t>
      </w:r>
      <w:r w:rsidR="009766B1">
        <w:rPr>
          <w:iCs/>
          <w:szCs w:val="24"/>
        </w:rPr>
        <w:t xml:space="preserve"> </w:t>
      </w:r>
      <w:r w:rsidRPr="004D622D">
        <w:rPr>
          <w:iCs/>
          <w:szCs w:val="24"/>
        </w:rPr>
        <w:t>menunjukkan bahwa data</w:t>
      </w:r>
      <w:r w:rsidR="00B71904">
        <w:rPr>
          <w:iCs/>
          <w:szCs w:val="24"/>
        </w:rPr>
        <w:t xml:space="preserve"> yang residual berdistribusi normal.</w:t>
      </w:r>
      <w:r w:rsidR="009766B1">
        <w:rPr>
          <w:iCs/>
          <w:szCs w:val="24"/>
        </w:rPr>
        <w:t xml:space="preserve"> </w:t>
      </w:r>
    </w:p>
    <w:p w14:paraId="402DB5E8" w14:textId="77777777" w:rsidR="00FB7155" w:rsidRDefault="00FB7155" w:rsidP="009766B1">
      <w:pPr>
        <w:ind w:firstLine="294"/>
        <w:rPr>
          <w:iCs/>
          <w:szCs w:val="24"/>
        </w:rPr>
      </w:pPr>
    </w:p>
    <w:p w14:paraId="65378268" w14:textId="6FA756BF" w:rsidR="00DD30D1" w:rsidRDefault="00F349FA" w:rsidP="00EC536B">
      <w:pPr>
        <w:contextualSpacing/>
        <w:rPr>
          <w:iCs/>
          <w:szCs w:val="24"/>
          <w:lang w:val="id-ID"/>
        </w:rPr>
      </w:pPr>
      <w:r>
        <w:rPr>
          <w:iCs/>
          <w:szCs w:val="24"/>
        </w:rPr>
        <w:t>2. U</w:t>
      </w:r>
      <w:r w:rsidR="00EC536B" w:rsidRPr="004D622D">
        <w:rPr>
          <w:iCs/>
          <w:szCs w:val="24"/>
          <w:lang w:val="id-ID"/>
        </w:rPr>
        <w:t>ji Autokorelasi</w:t>
      </w:r>
    </w:p>
    <w:p w14:paraId="5CBCECDE" w14:textId="77777777" w:rsidR="00EC536B" w:rsidRPr="00DD30D1" w:rsidRDefault="00EC536B" w:rsidP="00EC536B">
      <w:pPr>
        <w:contextualSpacing/>
        <w:jc w:val="center"/>
        <w:rPr>
          <w:iCs/>
          <w:sz w:val="18"/>
          <w:szCs w:val="18"/>
          <w:lang w:val="id-ID"/>
        </w:rPr>
      </w:pPr>
      <w:r>
        <w:rPr>
          <w:lang w:val="id-ID"/>
        </w:rPr>
        <w:t>T</w:t>
      </w:r>
      <w:r w:rsidRPr="00DD30D1">
        <w:rPr>
          <w:sz w:val="18"/>
          <w:szCs w:val="18"/>
          <w:lang w:val="id-ID"/>
        </w:rPr>
        <w:t>abel 4. Hasil uji a</w:t>
      </w:r>
      <w:r w:rsidRPr="00DD30D1">
        <w:rPr>
          <w:iCs/>
          <w:sz w:val="18"/>
          <w:szCs w:val="18"/>
          <w:lang w:val="id-ID"/>
        </w:rPr>
        <w:t>utokorelasi</w:t>
      </w:r>
    </w:p>
    <w:tbl>
      <w:tblPr>
        <w:tblW w:w="4111"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67"/>
        <w:gridCol w:w="567"/>
        <w:gridCol w:w="709"/>
        <w:gridCol w:w="709"/>
        <w:gridCol w:w="992"/>
        <w:gridCol w:w="567"/>
      </w:tblGrid>
      <w:tr w:rsidR="00EC536B" w:rsidRPr="00DD30D1" w14:paraId="31DFFF58" w14:textId="77777777" w:rsidTr="006A68DC">
        <w:trPr>
          <w:cantSplit/>
          <w:jc w:val="center"/>
        </w:trPr>
        <w:tc>
          <w:tcPr>
            <w:tcW w:w="4111" w:type="dxa"/>
            <w:gridSpan w:val="6"/>
            <w:shd w:val="clear" w:color="auto" w:fill="FFFFFF"/>
            <w:vAlign w:val="center"/>
          </w:tcPr>
          <w:p w14:paraId="56D7DA56" w14:textId="77777777" w:rsidR="00EC536B" w:rsidRPr="00DD30D1" w:rsidRDefault="00EC536B" w:rsidP="006A68DC">
            <w:pPr>
              <w:autoSpaceDE w:val="0"/>
              <w:autoSpaceDN w:val="0"/>
              <w:adjustRightInd w:val="0"/>
              <w:ind w:left="60" w:right="60"/>
              <w:jc w:val="center"/>
              <w:rPr>
                <w:color w:val="000000"/>
                <w:sz w:val="18"/>
                <w:szCs w:val="18"/>
              </w:rPr>
            </w:pPr>
            <w:r w:rsidRPr="00DD30D1">
              <w:rPr>
                <w:color w:val="000000"/>
                <w:sz w:val="18"/>
                <w:szCs w:val="18"/>
              </w:rPr>
              <w:t>Model Summary</w:t>
            </w:r>
            <w:r w:rsidRPr="00DD30D1">
              <w:rPr>
                <w:color w:val="000000"/>
                <w:sz w:val="18"/>
                <w:szCs w:val="18"/>
                <w:vertAlign w:val="superscript"/>
              </w:rPr>
              <w:t>b</w:t>
            </w:r>
          </w:p>
        </w:tc>
      </w:tr>
      <w:tr w:rsidR="00EC536B" w:rsidRPr="00DD30D1" w14:paraId="2124680E" w14:textId="77777777" w:rsidTr="006A68DC">
        <w:trPr>
          <w:cantSplit/>
          <w:jc w:val="center"/>
        </w:trPr>
        <w:tc>
          <w:tcPr>
            <w:tcW w:w="567" w:type="dxa"/>
            <w:shd w:val="clear" w:color="auto" w:fill="FFFFFF"/>
            <w:vAlign w:val="bottom"/>
          </w:tcPr>
          <w:p w14:paraId="79538E3C" w14:textId="77777777" w:rsidR="00EC536B" w:rsidRPr="00DD30D1" w:rsidRDefault="00EC536B" w:rsidP="0030754B">
            <w:pPr>
              <w:autoSpaceDE w:val="0"/>
              <w:autoSpaceDN w:val="0"/>
              <w:adjustRightInd w:val="0"/>
              <w:ind w:left="-18" w:right="-21"/>
              <w:jc w:val="center"/>
              <w:rPr>
                <w:color w:val="000000"/>
                <w:sz w:val="18"/>
                <w:szCs w:val="18"/>
              </w:rPr>
            </w:pPr>
            <w:r w:rsidRPr="00DD30D1">
              <w:rPr>
                <w:color w:val="000000"/>
                <w:sz w:val="18"/>
                <w:szCs w:val="18"/>
              </w:rPr>
              <w:t>Model</w:t>
            </w:r>
          </w:p>
        </w:tc>
        <w:tc>
          <w:tcPr>
            <w:tcW w:w="567" w:type="dxa"/>
            <w:shd w:val="clear" w:color="auto" w:fill="FFFFFF"/>
            <w:vAlign w:val="bottom"/>
          </w:tcPr>
          <w:p w14:paraId="158487A4" w14:textId="77777777" w:rsidR="00EC536B" w:rsidRPr="00DD30D1" w:rsidRDefault="00EC536B" w:rsidP="0030754B">
            <w:pPr>
              <w:autoSpaceDE w:val="0"/>
              <w:autoSpaceDN w:val="0"/>
              <w:adjustRightInd w:val="0"/>
              <w:ind w:left="-19" w:right="-10"/>
              <w:jc w:val="center"/>
              <w:rPr>
                <w:color w:val="000000"/>
                <w:sz w:val="18"/>
                <w:szCs w:val="18"/>
              </w:rPr>
            </w:pPr>
            <w:r w:rsidRPr="00DD30D1">
              <w:rPr>
                <w:color w:val="000000"/>
                <w:sz w:val="18"/>
                <w:szCs w:val="18"/>
              </w:rPr>
              <w:t>R</w:t>
            </w:r>
          </w:p>
        </w:tc>
        <w:tc>
          <w:tcPr>
            <w:tcW w:w="709" w:type="dxa"/>
            <w:shd w:val="clear" w:color="auto" w:fill="FFFFFF"/>
            <w:vAlign w:val="bottom"/>
          </w:tcPr>
          <w:p w14:paraId="18544B2A" w14:textId="77777777" w:rsidR="00EC536B" w:rsidRPr="00DD30D1" w:rsidRDefault="00EC536B" w:rsidP="0030754B">
            <w:pPr>
              <w:autoSpaceDE w:val="0"/>
              <w:autoSpaceDN w:val="0"/>
              <w:adjustRightInd w:val="0"/>
              <w:ind w:left="-12" w:right="-8"/>
              <w:jc w:val="center"/>
              <w:rPr>
                <w:color w:val="000000"/>
                <w:sz w:val="18"/>
                <w:szCs w:val="18"/>
              </w:rPr>
            </w:pPr>
            <w:r w:rsidRPr="00DD30D1">
              <w:rPr>
                <w:color w:val="000000"/>
                <w:sz w:val="18"/>
                <w:szCs w:val="18"/>
              </w:rPr>
              <w:t>R Square</w:t>
            </w:r>
          </w:p>
        </w:tc>
        <w:tc>
          <w:tcPr>
            <w:tcW w:w="709" w:type="dxa"/>
            <w:shd w:val="clear" w:color="auto" w:fill="FFFFFF"/>
            <w:vAlign w:val="bottom"/>
          </w:tcPr>
          <w:p w14:paraId="74D440A7" w14:textId="77777777" w:rsidR="00EC536B" w:rsidRPr="00DD30D1" w:rsidRDefault="00EC536B" w:rsidP="0030754B">
            <w:pPr>
              <w:autoSpaceDE w:val="0"/>
              <w:autoSpaceDN w:val="0"/>
              <w:adjustRightInd w:val="0"/>
              <w:ind w:left="-9" w:right="-10"/>
              <w:jc w:val="center"/>
              <w:rPr>
                <w:color w:val="000000"/>
                <w:sz w:val="18"/>
                <w:szCs w:val="18"/>
              </w:rPr>
            </w:pPr>
            <w:r w:rsidRPr="00DD30D1">
              <w:rPr>
                <w:color w:val="000000"/>
                <w:sz w:val="18"/>
                <w:szCs w:val="18"/>
              </w:rPr>
              <w:t>Adjusted R Square</w:t>
            </w:r>
          </w:p>
        </w:tc>
        <w:tc>
          <w:tcPr>
            <w:tcW w:w="992" w:type="dxa"/>
            <w:shd w:val="clear" w:color="auto" w:fill="FFFFFF"/>
            <w:vAlign w:val="bottom"/>
          </w:tcPr>
          <w:p w14:paraId="0DC141EE" w14:textId="77777777" w:rsidR="00EC536B" w:rsidRPr="00DD30D1" w:rsidRDefault="00EC536B" w:rsidP="0030754B">
            <w:pPr>
              <w:autoSpaceDE w:val="0"/>
              <w:autoSpaceDN w:val="0"/>
              <w:adjustRightInd w:val="0"/>
              <w:ind w:left="-7" w:right="-6"/>
              <w:jc w:val="center"/>
              <w:rPr>
                <w:color w:val="000000"/>
                <w:sz w:val="18"/>
                <w:szCs w:val="18"/>
              </w:rPr>
            </w:pPr>
            <w:r w:rsidRPr="00DD30D1">
              <w:rPr>
                <w:color w:val="000000"/>
                <w:sz w:val="18"/>
                <w:szCs w:val="18"/>
              </w:rPr>
              <w:t>Std. Error of the Estimate</w:t>
            </w:r>
          </w:p>
        </w:tc>
        <w:tc>
          <w:tcPr>
            <w:tcW w:w="567" w:type="dxa"/>
            <w:shd w:val="clear" w:color="auto" w:fill="FFFFFF"/>
            <w:vAlign w:val="bottom"/>
          </w:tcPr>
          <w:p w14:paraId="4A0AF34B" w14:textId="77777777" w:rsidR="00EC536B" w:rsidRPr="00DD30D1" w:rsidRDefault="00EC536B" w:rsidP="0030754B">
            <w:pPr>
              <w:autoSpaceDE w:val="0"/>
              <w:autoSpaceDN w:val="0"/>
              <w:adjustRightInd w:val="0"/>
              <w:ind w:left="-5" w:right="-21"/>
              <w:jc w:val="center"/>
              <w:rPr>
                <w:color w:val="000000"/>
                <w:sz w:val="18"/>
                <w:szCs w:val="18"/>
              </w:rPr>
            </w:pPr>
            <w:r w:rsidRPr="00DD30D1">
              <w:rPr>
                <w:color w:val="000000"/>
                <w:sz w:val="18"/>
                <w:szCs w:val="18"/>
              </w:rPr>
              <w:t>Durbin-Watson</w:t>
            </w:r>
          </w:p>
        </w:tc>
      </w:tr>
      <w:tr w:rsidR="00EC536B" w:rsidRPr="00DD30D1" w14:paraId="5B1985FB" w14:textId="77777777" w:rsidTr="006A68DC">
        <w:trPr>
          <w:cantSplit/>
          <w:jc w:val="center"/>
        </w:trPr>
        <w:tc>
          <w:tcPr>
            <w:tcW w:w="567" w:type="dxa"/>
            <w:shd w:val="clear" w:color="auto" w:fill="FFFFFF"/>
          </w:tcPr>
          <w:p w14:paraId="0CB89278"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1</w:t>
            </w:r>
          </w:p>
        </w:tc>
        <w:tc>
          <w:tcPr>
            <w:tcW w:w="567" w:type="dxa"/>
            <w:shd w:val="clear" w:color="auto" w:fill="FFFFFF"/>
            <w:vAlign w:val="center"/>
          </w:tcPr>
          <w:p w14:paraId="1FD7AD9C"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,400</w:t>
            </w:r>
            <w:r w:rsidRPr="00DD30D1">
              <w:rPr>
                <w:color w:val="000000"/>
                <w:sz w:val="18"/>
                <w:szCs w:val="18"/>
                <w:vertAlign w:val="superscript"/>
              </w:rPr>
              <w:t>a</w:t>
            </w:r>
          </w:p>
        </w:tc>
        <w:tc>
          <w:tcPr>
            <w:tcW w:w="709" w:type="dxa"/>
            <w:shd w:val="clear" w:color="auto" w:fill="FFFFFF"/>
            <w:vAlign w:val="center"/>
          </w:tcPr>
          <w:p w14:paraId="302BED00"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,160</w:t>
            </w:r>
          </w:p>
        </w:tc>
        <w:tc>
          <w:tcPr>
            <w:tcW w:w="709" w:type="dxa"/>
            <w:shd w:val="clear" w:color="auto" w:fill="FFFFFF"/>
            <w:vAlign w:val="center"/>
          </w:tcPr>
          <w:p w14:paraId="202FDCBD"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,113</w:t>
            </w:r>
          </w:p>
        </w:tc>
        <w:tc>
          <w:tcPr>
            <w:tcW w:w="992" w:type="dxa"/>
            <w:shd w:val="clear" w:color="auto" w:fill="FFFFFF"/>
            <w:vAlign w:val="center"/>
          </w:tcPr>
          <w:p w14:paraId="6733F9ED"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1645,14245</w:t>
            </w:r>
          </w:p>
        </w:tc>
        <w:tc>
          <w:tcPr>
            <w:tcW w:w="567" w:type="dxa"/>
            <w:shd w:val="clear" w:color="auto" w:fill="FFFFFF"/>
            <w:vAlign w:val="center"/>
          </w:tcPr>
          <w:p w14:paraId="5007ECF0"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1,943</w:t>
            </w:r>
          </w:p>
        </w:tc>
      </w:tr>
      <w:tr w:rsidR="00EC536B" w:rsidRPr="00DD30D1" w14:paraId="176090A7" w14:textId="77777777" w:rsidTr="006A68DC">
        <w:trPr>
          <w:cantSplit/>
          <w:jc w:val="center"/>
        </w:trPr>
        <w:tc>
          <w:tcPr>
            <w:tcW w:w="4111" w:type="dxa"/>
            <w:gridSpan w:val="6"/>
            <w:shd w:val="clear" w:color="auto" w:fill="FFFFFF"/>
          </w:tcPr>
          <w:p w14:paraId="7D35E35E"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a. Predictors: (Constant), LAG_X2, LAG_X1</w:t>
            </w:r>
          </w:p>
        </w:tc>
      </w:tr>
      <w:tr w:rsidR="00EC536B" w:rsidRPr="00DD30D1" w14:paraId="25420D9A" w14:textId="77777777" w:rsidTr="006A68DC">
        <w:trPr>
          <w:cantSplit/>
          <w:jc w:val="center"/>
        </w:trPr>
        <w:tc>
          <w:tcPr>
            <w:tcW w:w="4111" w:type="dxa"/>
            <w:gridSpan w:val="6"/>
            <w:shd w:val="clear" w:color="auto" w:fill="FFFFFF"/>
          </w:tcPr>
          <w:p w14:paraId="6E9A01C0" w14:textId="77777777" w:rsidR="00EC536B" w:rsidRPr="00DD30D1" w:rsidRDefault="00EC536B" w:rsidP="00181593">
            <w:pPr>
              <w:autoSpaceDE w:val="0"/>
              <w:autoSpaceDN w:val="0"/>
              <w:adjustRightInd w:val="0"/>
              <w:ind w:left="60" w:right="60"/>
              <w:rPr>
                <w:color w:val="000000"/>
                <w:sz w:val="18"/>
                <w:szCs w:val="18"/>
              </w:rPr>
            </w:pPr>
            <w:r w:rsidRPr="00DD30D1">
              <w:rPr>
                <w:color w:val="000000"/>
                <w:sz w:val="18"/>
                <w:szCs w:val="18"/>
              </w:rPr>
              <w:t>b. Dependent Variable: LAG_Y</w:t>
            </w:r>
          </w:p>
        </w:tc>
      </w:tr>
    </w:tbl>
    <w:p w14:paraId="72108151" w14:textId="77777777" w:rsidR="00EC536B" w:rsidRDefault="00EC536B" w:rsidP="00EC536B">
      <w:pPr>
        <w:rPr>
          <w:sz w:val="18"/>
          <w:szCs w:val="18"/>
          <w:lang w:val="id-ID"/>
        </w:rPr>
      </w:pPr>
      <w:r w:rsidRPr="00DD30D1">
        <w:rPr>
          <w:sz w:val="18"/>
          <w:szCs w:val="18"/>
        </w:rPr>
        <w:t xml:space="preserve">Sumber : </w:t>
      </w:r>
      <w:r w:rsidRPr="00DD30D1">
        <w:rPr>
          <w:sz w:val="18"/>
          <w:szCs w:val="18"/>
          <w:lang w:val="id-ID"/>
        </w:rPr>
        <w:t>(Hasil Olah Data SPSS v22</w:t>
      </w:r>
      <w:r w:rsidRPr="00DD30D1">
        <w:rPr>
          <w:sz w:val="18"/>
          <w:szCs w:val="18"/>
        </w:rPr>
        <w:t>, 2023</w:t>
      </w:r>
      <w:r w:rsidRPr="00DD30D1">
        <w:rPr>
          <w:sz w:val="18"/>
          <w:szCs w:val="18"/>
          <w:lang w:val="id-ID"/>
        </w:rPr>
        <w:t>)</w:t>
      </w:r>
    </w:p>
    <w:p w14:paraId="1CF868A1" w14:textId="77777777" w:rsidR="00F41823" w:rsidRPr="00DD30D1" w:rsidRDefault="00F41823" w:rsidP="00EC536B">
      <w:pPr>
        <w:rPr>
          <w:sz w:val="18"/>
          <w:szCs w:val="18"/>
          <w:lang w:val="id-ID"/>
        </w:rPr>
      </w:pPr>
    </w:p>
    <w:p w14:paraId="7E3DFF5A" w14:textId="77777777" w:rsidR="00EC536B" w:rsidRDefault="00EC536B" w:rsidP="006141FA">
      <w:pPr>
        <w:ind w:firstLine="567"/>
        <w:rPr>
          <w:szCs w:val="24"/>
        </w:rPr>
      </w:pPr>
      <w:r>
        <w:rPr>
          <w:szCs w:val="24"/>
        </w:rPr>
        <w:t>Berdasarkan tabel 4</w:t>
      </w:r>
      <w:r w:rsidRPr="004D622D">
        <w:rPr>
          <w:szCs w:val="24"/>
        </w:rPr>
        <w:t xml:space="preserve"> diatas dapat dilihat nilai du </w:t>
      </w:r>
      <w:r w:rsidRPr="004D622D">
        <w:rPr>
          <w:szCs w:val="24"/>
          <w:lang w:val="id-ID"/>
        </w:rPr>
        <w:t>&gt;</w:t>
      </w:r>
      <w:r w:rsidRPr="004D622D">
        <w:rPr>
          <w:szCs w:val="24"/>
        </w:rPr>
        <w:t xml:space="preserve"> dw &lt; 4 - du, </w:t>
      </w:r>
      <w:r w:rsidRPr="004D622D">
        <w:rPr>
          <w:iCs/>
          <w:szCs w:val="24"/>
        </w:rPr>
        <w:t xml:space="preserve">1,6000 </w:t>
      </w:r>
      <w:r w:rsidRPr="004D622D">
        <w:rPr>
          <w:iCs/>
          <w:szCs w:val="24"/>
          <w:lang w:val="id-ID"/>
        </w:rPr>
        <w:t>&lt;</w:t>
      </w:r>
      <w:r>
        <w:rPr>
          <w:iCs/>
          <w:szCs w:val="24"/>
        </w:rPr>
        <w:t>1,943</w:t>
      </w:r>
      <w:r w:rsidRPr="004D622D">
        <w:rPr>
          <w:iCs/>
          <w:szCs w:val="24"/>
        </w:rPr>
        <w:t xml:space="preserve"> &lt; 2,4000</w:t>
      </w:r>
      <w:r w:rsidRPr="004D622D">
        <w:rPr>
          <w:szCs w:val="24"/>
        </w:rPr>
        <w:t>. Ini berarti tabel hasil uji autokorelasi diatas memenuhi kriteria dan</w:t>
      </w:r>
      <w:r>
        <w:rPr>
          <w:szCs w:val="24"/>
          <w:lang w:val="id-ID"/>
        </w:rPr>
        <w:t xml:space="preserve"> tidak</w:t>
      </w:r>
      <w:r w:rsidRPr="004D622D">
        <w:rPr>
          <w:szCs w:val="24"/>
        </w:rPr>
        <w:t xml:space="preserve"> terjadi autokorelasi.</w:t>
      </w:r>
    </w:p>
    <w:p w14:paraId="22F9B2AD" w14:textId="77777777" w:rsidR="0045622A" w:rsidRDefault="0045622A" w:rsidP="00EC536B">
      <w:pPr>
        <w:ind w:firstLine="284"/>
        <w:rPr>
          <w:szCs w:val="24"/>
        </w:rPr>
      </w:pPr>
    </w:p>
    <w:p w14:paraId="045BC3AA" w14:textId="63E6E806" w:rsidR="0030558C" w:rsidRPr="00AB50D6" w:rsidRDefault="007C166F" w:rsidP="00EC536B">
      <w:pPr>
        <w:contextualSpacing/>
        <w:rPr>
          <w:iCs/>
          <w:szCs w:val="24"/>
          <w:lang w:val="id-ID"/>
        </w:rPr>
      </w:pPr>
      <w:r>
        <w:rPr>
          <w:iCs/>
          <w:szCs w:val="24"/>
        </w:rPr>
        <w:t>3. U</w:t>
      </w:r>
      <w:r w:rsidR="00EC536B" w:rsidRPr="004D622D">
        <w:rPr>
          <w:iCs/>
          <w:szCs w:val="24"/>
          <w:lang w:val="id-ID"/>
        </w:rPr>
        <w:t>ji Multikolinearitas</w:t>
      </w:r>
    </w:p>
    <w:p w14:paraId="3C061335" w14:textId="7BDD04DE" w:rsidR="00EC536B" w:rsidRPr="0030558C" w:rsidRDefault="00EC536B" w:rsidP="00EC536B">
      <w:pPr>
        <w:contextualSpacing/>
        <w:jc w:val="center"/>
        <w:rPr>
          <w:iCs/>
          <w:sz w:val="18"/>
          <w:szCs w:val="18"/>
          <w:lang w:val="id-ID"/>
        </w:rPr>
      </w:pPr>
      <w:bookmarkStart w:id="2" w:name="_Hlk196757975"/>
      <w:r w:rsidRPr="0030558C">
        <w:rPr>
          <w:sz w:val="18"/>
          <w:szCs w:val="18"/>
          <w:lang w:val="id-ID"/>
        </w:rPr>
        <w:t xml:space="preserve">Tabel 5. Hasil </w:t>
      </w:r>
      <w:r w:rsidR="0030558C">
        <w:rPr>
          <w:sz w:val="18"/>
          <w:szCs w:val="18"/>
        </w:rPr>
        <w:t>U</w:t>
      </w:r>
      <w:r w:rsidRPr="0030558C">
        <w:rPr>
          <w:sz w:val="18"/>
          <w:szCs w:val="18"/>
          <w:lang w:val="id-ID"/>
        </w:rPr>
        <w:t xml:space="preserve">ji </w:t>
      </w:r>
      <w:r w:rsidR="00D10323">
        <w:rPr>
          <w:iCs/>
          <w:sz w:val="18"/>
          <w:szCs w:val="18"/>
        </w:rPr>
        <w:t>M</w:t>
      </w:r>
      <w:r w:rsidRPr="0030558C">
        <w:rPr>
          <w:iCs/>
          <w:sz w:val="18"/>
          <w:szCs w:val="18"/>
          <w:lang w:val="id-ID"/>
        </w:rPr>
        <w:t>ultikolinearitas</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7"/>
        <w:gridCol w:w="589"/>
        <w:gridCol w:w="1212"/>
        <w:gridCol w:w="757"/>
      </w:tblGrid>
      <w:tr w:rsidR="00EC536B" w:rsidRPr="0030558C" w14:paraId="5357FFB3" w14:textId="77777777" w:rsidTr="006A68DC">
        <w:trPr>
          <w:cantSplit/>
          <w:trHeight w:val="285"/>
          <w:jc w:val="center"/>
        </w:trPr>
        <w:tc>
          <w:tcPr>
            <w:tcW w:w="0" w:type="auto"/>
            <w:gridSpan w:val="4"/>
            <w:shd w:val="clear" w:color="auto" w:fill="FFFFFF"/>
            <w:vAlign w:val="center"/>
          </w:tcPr>
          <w:bookmarkEnd w:id="2"/>
          <w:p w14:paraId="501BBE15" w14:textId="77777777" w:rsidR="00EC536B" w:rsidRPr="0030558C" w:rsidRDefault="00EC536B" w:rsidP="006A68DC">
            <w:pPr>
              <w:autoSpaceDE w:val="0"/>
              <w:autoSpaceDN w:val="0"/>
              <w:adjustRightInd w:val="0"/>
              <w:ind w:left="60" w:right="60"/>
              <w:jc w:val="center"/>
              <w:rPr>
                <w:color w:val="000000"/>
                <w:sz w:val="18"/>
                <w:szCs w:val="18"/>
              </w:rPr>
            </w:pPr>
            <w:r w:rsidRPr="0030558C">
              <w:rPr>
                <w:b/>
                <w:bCs/>
                <w:color w:val="000000"/>
                <w:sz w:val="18"/>
                <w:szCs w:val="18"/>
                <w:lang w:val="id-ID"/>
              </w:rPr>
              <w:t xml:space="preserve">       </w:t>
            </w:r>
            <w:r w:rsidRPr="0030558C">
              <w:rPr>
                <w:b/>
                <w:bCs/>
                <w:color w:val="000000"/>
                <w:sz w:val="18"/>
                <w:szCs w:val="18"/>
              </w:rPr>
              <w:t>Coefficients</w:t>
            </w:r>
            <w:r w:rsidRPr="0030558C">
              <w:rPr>
                <w:b/>
                <w:bCs/>
                <w:color w:val="000000"/>
                <w:sz w:val="18"/>
                <w:szCs w:val="18"/>
                <w:vertAlign w:val="superscript"/>
              </w:rPr>
              <w:t>a</w:t>
            </w:r>
          </w:p>
        </w:tc>
      </w:tr>
      <w:tr w:rsidR="00EC536B" w:rsidRPr="0030558C" w14:paraId="5F1EF754" w14:textId="77777777" w:rsidTr="006A68DC">
        <w:trPr>
          <w:cantSplit/>
          <w:trHeight w:val="219"/>
          <w:jc w:val="center"/>
        </w:trPr>
        <w:tc>
          <w:tcPr>
            <w:tcW w:w="0" w:type="auto"/>
            <w:gridSpan w:val="2"/>
            <w:vMerge w:val="restart"/>
            <w:shd w:val="clear" w:color="auto" w:fill="FFFFFF"/>
            <w:vAlign w:val="bottom"/>
          </w:tcPr>
          <w:p w14:paraId="71F94839" w14:textId="77777777" w:rsidR="00EC536B" w:rsidRPr="0030558C" w:rsidRDefault="00EC536B" w:rsidP="006A68DC">
            <w:pPr>
              <w:autoSpaceDE w:val="0"/>
              <w:autoSpaceDN w:val="0"/>
              <w:adjustRightInd w:val="0"/>
              <w:ind w:left="60" w:right="60"/>
              <w:jc w:val="left"/>
              <w:rPr>
                <w:color w:val="000000"/>
                <w:sz w:val="18"/>
                <w:szCs w:val="18"/>
              </w:rPr>
            </w:pPr>
            <w:r w:rsidRPr="0030558C">
              <w:rPr>
                <w:color w:val="000000"/>
                <w:sz w:val="18"/>
                <w:szCs w:val="18"/>
              </w:rPr>
              <w:t>Model</w:t>
            </w:r>
          </w:p>
        </w:tc>
        <w:tc>
          <w:tcPr>
            <w:tcW w:w="0" w:type="auto"/>
            <w:gridSpan w:val="2"/>
            <w:shd w:val="clear" w:color="auto" w:fill="FFFFFF"/>
            <w:vAlign w:val="bottom"/>
          </w:tcPr>
          <w:p w14:paraId="03549684" w14:textId="77777777" w:rsidR="00EC536B" w:rsidRPr="0030558C" w:rsidRDefault="00EC536B" w:rsidP="006A68DC">
            <w:pPr>
              <w:autoSpaceDE w:val="0"/>
              <w:autoSpaceDN w:val="0"/>
              <w:adjustRightInd w:val="0"/>
              <w:ind w:left="60" w:right="60"/>
              <w:jc w:val="center"/>
              <w:rPr>
                <w:color w:val="000000"/>
                <w:sz w:val="18"/>
                <w:szCs w:val="18"/>
              </w:rPr>
            </w:pPr>
            <w:r w:rsidRPr="0030558C">
              <w:rPr>
                <w:color w:val="000000"/>
                <w:sz w:val="18"/>
                <w:szCs w:val="18"/>
              </w:rPr>
              <w:t>Collinearity Statistics</w:t>
            </w:r>
          </w:p>
        </w:tc>
      </w:tr>
      <w:tr w:rsidR="00EC536B" w:rsidRPr="0030558C" w14:paraId="7892A19A" w14:textId="77777777" w:rsidTr="006A68DC">
        <w:trPr>
          <w:cantSplit/>
          <w:trHeight w:val="251"/>
          <w:jc w:val="center"/>
        </w:trPr>
        <w:tc>
          <w:tcPr>
            <w:tcW w:w="0" w:type="auto"/>
            <w:gridSpan w:val="2"/>
            <w:vMerge/>
            <w:shd w:val="clear" w:color="auto" w:fill="FFFFFF"/>
            <w:vAlign w:val="bottom"/>
          </w:tcPr>
          <w:p w14:paraId="42034642" w14:textId="77777777" w:rsidR="00EC536B" w:rsidRPr="0030558C" w:rsidRDefault="00EC536B" w:rsidP="006A68DC">
            <w:pPr>
              <w:autoSpaceDE w:val="0"/>
              <w:autoSpaceDN w:val="0"/>
              <w:adjustRightInd w:val="0"/>
              <w:jc w:val="left"/>
              <w:rPr>
                <w:color w:val="000000"/>
                <w:sz w:val="18"/>
                <w:szCs w:val="18"/>
              </w:rPr>
            </w:pPr>
          </w:p>
        </w:tc>
        <w:tc>
          <w:tcPr>
            <w:tcW w:w="0" w:type="auto"/>
            <w:shd w:val="clear" w:color="auto" w:fill="FFFFFF"/>
            <w:vAlign w:val="bottom"/>
          </w:tcPr>
          <w:p w14:paraId="12AB1C4F" w14:textId="77777777" w:rsidR="00EC536B" w:rsidRPr="0030558C" w:rsidRDefault="00EC536B" w:rsidP="006A68DC">
            <w:pPr>
              <w:autoSpaceDE w:val="0"/>
              <w:autoSpaceDN w:val="0"/>
              <w:adjustRightInd w:val="0"/>
              <w:ind w:left="60" w:right="60"/>
              <w:jc w:val="center"/>
              <w:rPr>
                <w:color w:val="000000"/>
                <w:sz w:val="18"/>
                <w:szCs w:val="18"/>
              </w:rPr>
            </w:pPr>
            <w:r w:rsidRPr="0030558C">
              <w:rPr>
                <w:color w:val="000000"/>
                <w:sz w:val="18"/>
                <w:szCs w:val="18"/>
              </w:rPr>
              <w:t>Tolerance</w:t>
            </w:r>
          </w:p>
        </w:tc>
        <w:tc>
          <w:tcPr>
            <w:tcW w:w="0" w:type="auto"/>
            <w:shd w:val="clear" w:color="auto" w:fill="FFFFFF"/>
            <w:vAlign w:val="bottom"/>
          </w:tcPr>
          <w:p w14:paraId="4969BD5E" w14:textId="77777777" w:rsidR="00EC536B" w:rsidRPr="0030558C" w:rsidRDefault="00EC536B" w:rsidP="006A68DC">
            <w:pPr>
              <w:autoSpaceDE w:val="0"/>
              <w:autoSpaceDN w:val="0"/>
              <w:adjustRightInd w:val="0"/>
              <w:ind w:left="60" w:right="60"/>
              <w:jc w:val="center"/>
              <w:rPr>
                <w:color w:val="000000"/>
                <w:sz w:val="18"/>
                <w:szCs w:val="18"/>
              </w:rPr>
            </w:pPr>
            <w:r w:rsidRPr="0030558C">
              <w:rPr>
                <w:color w:val="000000"/>
                <w:sz w:val="18"/>
                <w:szCs w:val="18"/>
              </w:rPr>
              <w:t>VIF</w:t>
            </w:r>
          </w:p>
        </w:tc>
      </w:tr>
      <w:tr w:rsidR="00EC536B" w:rsidRPr="0030558C" w14:paraId="679FC1AB" w14:textId="77777777" w:rsidTr="006A68DC">
        <w:trPr>
          <w:cantSplit/>
          <w:trHeight w:val="186"/>
          <w:jc w:val="center"/>
        </w:trPr>
        <w:tc>
          <w:tcPr>
            <w:tcW w:w="0" w:type="auto"/>
            <w:vMerge w:val="restart"/>
            <w:shd w:val="clear" w:color="auto" w:fill="FFFFFF"/>
          </w:tcPr>
          <w:p w14:paraId="2C4E84B6" w14:textId="77777777" w:rsidR="00EC536B" w:rsidRPr="0030558C" w:rsidRDefault="00EC536B" w:rsidP="006A68DC">
            <w:pPr>
              <w:autoSpaceDE w:val="0"/>
              <w:autoSpaceDN w:val="0"/>
              <w:adjustRightInd w:val="0"/>
              <w:ind w:left="60" w:right="60"/>
              <w:jc w:val="left"/>
              <w:rPr>
                <w:color w:val="000000"/>
                <w:sz w:val="18"/>
                <w:szCs w:val="18"/>
              </w:rPr>
            </w:pPr>
            <w:r w:rsidRPr="0030558C">
              <w:rPr>
                <w:color w:val="000000"/>
                <w:sz w:val="18"/>
                <w:szCs w:val="18"/>
              </w:rPr>
              <w:t>1</w:t>
            </w:r>
          </w:p>
        </w:tc>
        <w:tc>
          <w:tcPr>
            <w:tcW w:w="0" w:type="auto"/>
            <w:shd w:val="clear" w:color="auto" w:fill="FFFFFF"/>
          </w:tcPr>
          <w:p w14:paraId="5B460605" w14:textId="77777777" w:rsidR="00EC536B" w:rsidRPr="0030558C" w:rsidRDefault="00EC536B" w:rsidP="006A68DC">
            <w:pPr>
              <w:autoSpaceDE w:val="0"/>
              <w:autoSpaceDN w:val="0"/>
              <w:adjustRightInd w:val="0"/>
              <w:ind w:left="60" w:right="60"/>
              <w:jc w:val="left"/>
              <w:rPr>
                <w:color w:val="000000"/>
                <w:sz w:val="18"/>
                <w:szCs w:val="18"/>
              </w:rPr>
            </w:pPr>
            <w:r w:rsidRPr="0030558C">
              <w:rPr>
                <w:color w:val="000000"/>
                <w:sz w:val="18"/>
                <w:szCs w:val="18"/>
              </w:rPr>
              <w:t>ROA</w:t>
            </w:r>
          </w:p>
        </w:tc>
        <w:tc>
          <w:tcPr>
            <w:tcW w:w="0" w:type="auto"/>
            <w:shd w:val="clear" w:color="auto" w:fill="FFFFFF"/>
            <w:vAlign w:val="center"/>
          </w:tcPr>
          <w:p w14:paraId="2861C7BB" w14:textId="77777777" w:rsidR="00EC536B" w:rsidRPr="0030558C" w:rsidRDefault="00EC536B" w:rsidP="006A68DC">
            <w:pPr>
              <w:autoSpaceDE w:val="0"/>
              <w:autoSpaceDN w:val="0"/>
              <w:adjustRightInd w:val="0"/>
              <w:ind w:left="60" w:right="60"/>
              <w:jc w:val="right"/>
              <w:rPr>
                <w:color w:val="000000"/>
                <w:sz w:val="18"/>
                <w:szCs w:val="18"/>
              </w:rPr>
            </w:pPr>
            <w:r w:rsidRPr="0030558C">
              <w:rPr>
                <w:color w:val="000000"/>
                <w:sz w:val="18"/>
                <w:szCs w:val="18"/>
              </w:rPr>
              <w:t>,973</w:t>
            </w:r>
          </w:p>
        </w:tc>
        <w:tc>
          <w:tcPr>
            <w:tcW w:w="0" w:type="auto"/>
            <w:shd w:val="clear" w:color="auto" w:fill="FFFFFF"/>
            <w:vAlign w:val="center"/>
          </w:tcPr>
          <w:p w14:paraId="4A382993" w14:textId="77777777" w:rsidR="00EC536B" w:rsidRPr="0030558C" w:rsidRDefault="00EC536B" w:rsidP="006A68DC">
            <w:pPr>
              <w:autoSpaceDE w:val="0"/>
              <w:autoSpaceDN w:val="0"/>
              <w:adjustRightInd w:val="0"/>
              <w:ind w:left="60" w:right="60"/>
              <w:jc w:val="right"/>
              <w:rPr>
                <w:color w:val="000000"/>
                <w:sz w:val="18"/>
                <w:szCs w:val="18"/>
              </w:rPr>
            </w:pPr>
            <w:r w:rsidRPr="0030558C">
              <w:rPr>
                <w:color w:val="000000"/>
                <w:sz w:val="18"/>
                <w:szCs w:val="18"/>
              </w:rPr>
              <w:t>1,027</w:t>
            </w:r>
          </w:p>
        </w:tc>
      </w:tr>
      <w:tr w:rsidR="00EC536B" w:rsidRPr="0030558C" w14:paraId="5DA4F2FB" w14:textId="77777777" w:rsidTr="006A68DC">
        <w:trPr>
          <w:cantSplit/>
          <w:trHeight w:val="22"/>
          <w:jc w:val="center"/>
        </w:trPr>
        <w:tc>
          <w:tcPr>
            <w:tcW w:w="0" w:type="auto"/>
            <w:vMerge/>
            <w:shd w:val="clear" w:color="auto" w:fill="FFFFFF"/>
          </w:tcPr>
          <w:p w14:paraId="76D5B215" w14:textId="77777777" w:rsidR="00EC536B" w:rsidRPr="0030558C" w:rsidRDefault="00EC536B" w:rsidP="006A68DC">
            <w:pPr>
              <w:autoSpaceDE w:val="0"/>
              <w:autoSpaceDN w:val="0"/>
              <w:adjustRightInd w:val="0"/>
              <w:jc w:val="left"/>
              <w:rPr>
                <w:color w:val="000000"/>
                <w:sz w:val="18"/>
                <w:szCs w:val="18"/>
              </w:rPr>
            </w:pPr>
          </w:p>
        </w:tc>
        <w:tc>
          <w:tcPr>
            <w:tcW w:w="0" w:type="auto"/>
            <w:shd w:val="clear" w:color="auto" w:fill="FFFFFF"/>
          </w:tcPr>
          <w:p w14:paraId="7F1DBE38" w14:textId="77777777" w:rsidR="00EC536B" w:rsidRPr="0030558C" w:rsidRDefault="00EC536B" w:rsidP="006A68DC">
            <w:pPr>
              <w:autoSpaceDE w:val="0"/>
              <w:autoSpaceDN w:val="0"/>
              <w:adjustRightInd w:val="0"/>
              <w:ind w:left="60" w:right="60"/>
              <w:jc w:val="left"/>
              <w:rPr>
                <w:color w:val="000000"/>
                <w:sz w:val="18"/>
                <w:szCs w:val="18"/>
              </w:rPr>
            </w:pPr>
            <w:r w:rsidRPr="0030558C">
              <w:rPr>
                <w:color w:val="000000"/>
                <w:sz w:val="18"/>
                <w:szCs w:val="18"/>
              </w:rPr>
              <w:t>ROE</w:t>
            </w:r>
          </w:p>
        </w:tc>
        <w:tc>
          <w:tcPr>
            <w:tcW w:w="0" w:type="auto"/>
            <w:shd w:val="clear" w:color="auto" w:fill="FFFFFF"/>
            <w:vAlign w:val="center"/>
          </w:tcPr>
          <w:p w14:paraId="33176E72" w14:textId="77777777" w:rsidR="00EC536B" w:rsidRPr="0030558C" w:rsidRDefault="00EC536B" w:rsidP="006A68DC">
            <w:pPr>
              <w:autoSpaceDE w:val="0"/>
              <w:autoSpaceDN w:val="0"/>
              <w:adjustRightInd w:val="0"/>
              <w:ind w:left="60" w:right="60"/>
              <w:jc w:val="right"/>
              <w:rPr>
                <w:color w:val="000000"/>
                <w:sz w:val="18"/>
                <w:szCs w:val="18"/>
              </w:rPr>
            </w:pPr>
            <w:r w:rsidRPr="0030558C">
              <w:rPr>
                <w:color w:val="000000"/>
                <w:sz w:val="18"/>
                <w:szCs w:val="18"/>
              </w:rPr>
              <w:t>,973</w:t>
            </w:r>
          </w:p>
        </w:tc>
        <w:tc>
          <w:tcPr>
            <w:tcW w:w="0" w:type="auto"/>
            <w:shd w:val="clear" w:color="auto" w:fill="FFFFFF"/>
            <w:vAlign w:val="center"/>
          </w:tcPr>
          <w:p w14:paraId="24F4C7E2" w14:textId="77777777" w:rsidR="00EC536B" w:rsidRPr="0030558C" w:rsidRDefault="00EC536B" w:rsidP="006A68DC">
            <w:pPr>
              <w:autoSpaceDE w:val="0"/>
              <w:autoSpaceDN w:val="0"/>
              <w:adjustRightInd w:val="0"/>
              <w:ind w:left="60" w:right="60"/>
              <w:jc w:val="right"/>
              <w:rPr>
                <w:color w:val="000000"/>
                <w:sz w:val="18"/>
                <w:szCs w:val="18"/>
              </w:rPr>
            </w:pPr>
            <w:r w:rsidRPr="0030558C">
              <w:rPr>
                <w:color w:val="000000"/>
                <w:sz w:val="18"/>
                <w:szCs w:val="18"/>
              </w:rPr>
              <w:t>1,027</w:t>
            </w:r>
          </w:p>
        </w:tc>
      </w:tr>
      <w:tr w:rsidR="00EC536B" w:rsidRPr="0030558C" w14:paraId="55C8AE62" w14:textId="77777777" w:rsidTr="006A68DC">
        <w:trPr>
          <w:cantSplit/>
          <w:trHeight w:val="206"/>
          <w:jc w:val="center"/>
        </w:trPr>
        <w:tc>
          <w:tcPr>
            <w:tcW w:w="0" w:type="auto"/>
            <w:gridSpan w:val="4"/>
            <w:shd w:val="clear" w:color="auto" w:fill="FFFFFF"/>
          </w:tcPr>
          <w:p w14:paraId="1C0A64C6" w14:textId="77777777" w:rsidR="00EC536B" w:rsidRPr="0030558C" w:rsidRDefault="00EC536B" w:rsidP="006A68DC">
            <w:pPr>
              <w:autoSpaceDE w:val="0"/>
              <w:autoSpaceDN w:val="0"/>
              <w:adjustRightInd w:val="0"/>
              <w:ind w:left="60" w:right="60"/>
              <w:jc w:val="left"/>
              <w:rPr>
                <w:color w:val="000000"/>
                <w:sz w:val="18"/>
                <w:szCs w:val="18"/>
              </w:rPr>
            </w:pPr>
            <w:r w:rsidRPr="0030558C">
              <w:rPr>
                <w:color w:val="000000"/>
                <w:sz w:val="18"/>
                <w:szCs w:val="18"/>
              </w:rPr>
              <w:t>a. Dependent Variable: Harga Saham</w:t>
            </w:r>
          </w:p>
        </w:tc>
      </w:tr>
    </w:tbl>
    <w:p w14:paraId="0ED6D71F" w14:textId="77777777" w:rsidR="00EC536B" w:rsidRPr="0030558C" w:rsidRDefault="00EC536B" w:rsidP="00EC536B">
      <w:pPr>
        <w:rPr>
          <w:sz w:val="18"/>
          <w:szCs w:val="18"/>
          <w:lang w:val="id-ID"/>
        </w:rPr>
      </w:pPr>
      <w:r w:rsidRPr="0030558C">
        <w:rPr>
          <w:sz w:val="18"/>
          <w:szCs w:val="18"/>
        </w:rPr>
        <w:t xml:space="preserve">Sumber : </w:t>
      </w:r>
      <w:r w:rsidRPr="0030558C">
        <w:rPr>
          <w:sz w:val="18"/>
          <w:szCs w:val="18"/>
          <w:lang w:val="id-ID"/>
        </w:rPr>
        <w:t>(Hasil Olah Data SPSS v22</w:t>
      </w:r>
      <w:r w:rsidRPr="0030558C">
        <w:rPr>
          <w:sz w:val="18"/>
          <w:szCs w:val="18"/>
        </w:rPr>
        <w:t>, 2023</w:t>
      </w:r>
      <w:r w:rsidRPr="0030558C">
        <w:rPr>
          <w:sz w:val="18"/>
          <w:szCs w:val="18"/>
          <w:lang w:val="id-ID"/>
        </w:rPr>
        <w:t>)</w:t>
      </w:r>
    </w:p>
    <w:p w14:paraId="63077ADB" w14:textId="4007C09F" w:rsidR="00EC536B" w:rsidRDefault="00EC536B" w:rsidP="00FE24B6">
      <w:pPr>
        <w:ind w:firstLine="567"/>
        <w:rPr>
          <w:szCs w:val="24"/>
        </w:rPr>
      </w:pPr>
      <w:r>
        <w:rPr>
          <w:szCs w:val="24"/>
        </w:rPr>
        <w:lastRenderedPageBreak/>
        <w:t>Berdasarkan tabel 5</w:t>
      </w:r>
      <w:r w:rsidRPr="004D622D">
        <w:rPr>
          <w:szCs w:val="24"/>
        </w:rPr>
        <w:t xml:space="preserve"> diatas menunjukkan bahwa nilai VIF sebesar 1,027 yang berarti kurang dari 10,00 serta nilai tolerance sebesar 0,973 yang berarti lebih besar dari 0,100 maka variabel </w:t>
      </w:r>
      <w:r w:rsidRPr="004D622D">
        <w:rPr>
          <w:szCs w:val="24"/>
          <w:lang w:val="id-ID"/>
        </w:rPr>
        <w:t>ROA</w:t>
      </w:r>
      <w:r w:rsidRPr="004D622D">
        <w:rPr>
          <w:szCs w:val="24"/>
        </w:rPr>
        <w:t xml:space="preserve"> dan ROE bebas dari gejala multikorelasi karena seluruh ketentuan sudah terpenuhi.</w:t>
      </w:r>
    </w:p>
    <w:p w14:paraId="3B18E0FA" w14:textId="77777777" w:rsidR="006A0E06" w:rsidRDefault="006A0E06" w:rsidP="007B7C30">
      <w:pPr>
        <w:ind w:firstLine="426"/>
        <w:rPr>
          <w:szCs w:val="24"/>
        </w:rPr>
      </w:pPr>
    </w:p>
    <w:p w14:paraId="3D363974" w14:textId="5051CB7F" w:rsidR="00EC536B" w:rsidRDefault="005063CD" w:rsidP="00EC536B">
      <w:pPr>
        <w:contextualSpacing/>
        <w:rPr>
          <w:szCs w:val="24"/>
          <w:lang w:val="id-ID"/>
        </w:rPr>
      </w:pPr>
      <w:r w:rsidRPr="004D622D">
        <w:rPr>
          <w:noProof/>
        </w:rPr>
        <w:drawing>
          <wp:anchor distT="0" distB="0" distL="114300" distR="114300" simplePos="0" relativeHeight="251659264" behindDoc="1" locked="0" layoutInCell="1" allowOverlap="1" wp14:anchorId="3D6FA7B0" wp14:editId="155036E7">
            <wp:simplePos x="0" y="0"/>
            <wp:positionH relativeFrom="margin">
              <wp:posOffset>110490</wp:posOffset>
            </wp:positionH>
            <wp:positionV relativeFrom="paragraph">
              <wp:posOffset>175260</wp:posOffset>
            </wp:positionV>
            <wp:extent cx="2435225" cy="1637030"/>
            <wp:effectExtent l="0" t="0" r="3175" b="1270"/>
            <wp:wrapTight wrapText="bothSides">
              <wp:wrapPolygon edited="0">
                <wp:start x="0" y="0"/>
                <wp:lineTo x="0" y="21365"/>
                <wp:lineTo x="21459" y="21365"/>
                <wp:lineTo x="2145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5225"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E06">
        <w:rPr>
          <w:szCs w:val="24"/>
        </w:rPr>
        <w:t>4. U</w:t>
      </w:r>
      <w:r w:rsidR="00EC536B" w:rsidRPr="004D622D">
        <w:rPr>
          <w:szCs w:val="24"/>
          <w:lang w:val="id-ID"/>
        </w:rPr>
        <w:t>ji Heteroskedastisitas</w:t>
      </w:r>
    </w:p>
    <w:p w14:paraId="7E4A3443" w14:textId="77777777" w:rsidR="00EC536B" w:rsidRPr="00766BCE" w:rsidRDefault="00EC536B" w:rsidP="00FE24B6">
      <w:pPr>
        <w:jc w:val="left"/>
        <w:rPr>
          <w:sz w:val="18"/>
          <w:szCs w:val="18"/>
          <w:lang w:val="id-ID"/>
        </w:rPr>
      </w:pPr>
      <w:bookmarkStart w:id="3" w:name="_Toc136855803"/>
      <w:r w:rsidRPr="00766BCE">
        <w:rPr>
          <w:sz w:val="18"/>
          <w:szCs w:val="18"/>
        </w:rPr>
        <w:t xml:space="preserve">Sumber : </w:t>
      </w:r>
      <w:r w:rsidRPr="00766BCE">
        <w:rPr>
          <w:sz w:val="18"/>
          <w:szCs w:val="18"/>
          <w:lang w:val="id-ID"/>
        </w:rPr>
        <w:t>(Hasil Olah Data SPSS v22</w:t>
      </w:r>
      <w:r w:rsidRPr="00766BCE">
        <w:rPr>
          <w:sz w:val="18"/>
          <w:szCs w:val="18"/>
        </w:rPr>
        <w:t>, 2023</w:t>
      </w:r>
      <w:r w:rsidRPr="00766BCE">
        <w:rPr>
          <w:sz w:val="18"/>
          <w:szCs w:val="18"/>
          <w:lang w:val="id-ID"/>
        </w:rPr>
        <w:t>)</w:t>
      </w:r>
    </w:p>
    <w:p w14:paraId="7FC3F20F" w14:textId="77777777" w:rsidR="00EC536B" w:rsidRDefault="00EC536B" w:rsidP="00EC536B">
      <w:pPr>
        <w:jc w:val="center"/>
        <w:rPr>
          <w:sz w:val="18"/>
          <w:szCs w:val="18"/>
          <w:lang w:val="id-ID"/>
        </w:rPr>
      </w:pPr>
      <w:r w:rsidRPr="00766BCE">
        <w:rPr>
          <w:sz w:val="18"/>
          <w:szCs w:val="18"/>
        </w:rPr>
        <w:t>Gambar</w:t>
      </w:r>
      <w:r w:rsidRPr="00766BCE">
        <w:rPr>
          <w:sz w:val="18"/>
          <w:szCs w:val="18"/>
          <w:lang w:val="id-ID"/>
        </w:rPr>
        <w:t xml:space="preserve"> 1</w:t>
      </w:r>
      <w:bookmarkEnd w:id="3"/>
      <w:r w:rsidRPr="00766BCE">
        <w:rPr>
          <w:sz w:val="18"/>
          <w:szCs w:val="18"/>
          <w:lang w:val="id-ID"/>
        </w:rPr>
        <w:t>. Grafik Scatterflot</w:t>
      </w:r>
    </w:p>
    <w:p w14:paraId="4B906516" w14:textId="77777777" w:rsidR="00766BCE" w:rsidRDefault="00766BCE" w:rsidP="00EC536B">
      <w:pPr>
        <w:jc w:val="center"/>
        <w:rPr>
          <w:szCs w:val="24"/>
          <w:lang w:val="id-ID"/>
        </w:rPr>
      </w:pPr>
    </w:p>
    <w:p w14:paraId="1B2A363E" w14:textId="77777777" w:rsidR="00EC536B" w:rsidRDefault="00EC536B" w:rsidP="00FE24B6">
      <w:pPr>
        <w:autoSpaceDE w:val="0"/>
        <w:autoSpaceDN w:val="0"/>
        <w:adjustRightInd w:val="0"/>
        <w:ind w:firstLine="567"/>
        <w:rPr>
          <w:szCs w:val="24"/>
          <w:lang w:val="id-ID"/>
        </w:rPr>
      </w:pPr>
      <w:r w:rsidRPr="004D622D">
        <w:rPr>
          <w:szCs w:val="24"/>
        </w:rPr>
        <w:t xml:space="preserve">Berdasarkan gambar </w:t>
      </w:r>
      <w:r>
        <w:rPr>
          <w:szCs w:val="24"/>
        </w:rPr>
        <w:t>1</w:t>
      </w:r>
      <w:r w:rsidRPr="004D622D">
        <w:rPr>
          <w:szCs w:val="24"/>
        </w:rPr>
        <w:t xml:space="preserve"> diatas dapat disimpulkan bahwa pada grafik scatterplot titik-titik yang menyebar tidak beraturan diatas dan dibawah angka 0 pada sumbu Y serta tidak membentuk pola yang jelas</w:t>
      </w:r>
      <w:r>
        <w:rPr>
          <w:szCs w:val="24"/>
        </w:rPr>
        <w:t xml:space="preserve"> sehingga </w:t>
      </w:r>
      <w:r w:rsidRPr="004D622D">
        <w:rPr>
          <w:szCs w:val="24"/>
          <w:lang w:val="id-ID"/>
        </w:rPr>
        <w:t xml:space="preserve">tidak </w:t>
      </w:r>
      <w:r>
        <w:rPr>
          <w:szCs w:val="24"/>
          <w:lang w:val="id-ID"/>
        </w:rPr>
        <w:t xml:space="preserve">terjadi </w:t>
      </w:r>
      <w:r w:rsidRPr="004D622D">
        <w:rPr>
          <w:szCs w:val="24"/>
          <w:lang w:val="id-ID"/>
        </w:rPr>
        <w:t>heteroskedastisitas</w:t>
      </w:r>
      <w:r>
        <w:rPr>
          <w:szCs w:val="24"/>
          <w:lang w:val="id-ID"/>
        </w:rPr>
        <w:t>.</w:t>
      </w:r>
    </w:p>
    <w:p w14:paraId="6EB95DA8" w14:textId="77777777" w:rsidR="00BD10A5" w:rsidRDefault="00BD10A5" w:rsidP="00EC536B">
      <w:pPr>
        <w:autoSpaceDE w:val="0"/>
        <w:autoSpaceDN w:val="0"/>
        <w:adjustRightInd w:val="0"/>
        <w:ind w:firstLine="284"/>
        <w:rPr>
          <w:szCs w:val="24"/>
          <w:lang w:val="id-ID"/>
        </w:rPr>
      </w:pPr>
    </w:p>
    <w:p w14:paraId="2173056A" w14:textId="063DF5EF" w:rsidR="00EC536B" w:rsidRDefault="00893A47" w:rsidP="00EC536B">
      <w:pPr>
        <w:pStyle w:val="Heading3"/>
        <w:numPr>
          <w:ilvl w:val="0"/>
          <w:numId w:val="0"/>
        </w:numPr>
        <w:spacing w:before="0" w:line="240" w:lineRule="auto"/>
        <w:ind w:left="720" w:hanging="720"/>
        <w:rPr>
          <w:b w:val="0"/>
          <w:bCs/>
          <w:sz w:val="20"/>
          <w:szCs w:val="20"/>
          <w:lang w:val="id-ID"/>
        </w:rPr>
      </w:pPr>
      <w:bookmarkStart w:id="4" w:name="_Toc136900758"/>
      <w:r>
        <w:rPr>
          <w:b w:val="0"/>
          <w:bCs/>
          <w:sz w:val="20"/>
          <w:szCs w:val="20"/>
        </w:rPr>
        <w:t>5. A</w:t>
      </w:r>
      <w:r w:rsidR="00EC536B" w:rsidRPr="006142F9">
        <w:rPr>
          <w:b w:val="0"/>
          <w:bCs/>
          <w:sz w:val="20"/>
          <w:szCs w:val="20"/>
          <w:lang w:val="id-ID"/>
        </w:rPr>
        <w:t>nalisis Regresi Linear Berganda</w:t>
      </w:r>
      <w:bookmarkEnd w:id="4"/>
    </w:p>
    <w:p w14:paraId="54A37AB0" w14:textId="77777777" w:rsidR="00EC536B" w:rsidRPr="00002E57" w:rsidRDefault="00EC536B" w:rsidP="00EC536B">
      <w:pPr>
        <w:contextualSpacing/>
        <w:jc w:val="center"/>
        <w:rPr>
          <w:sz w:val="16"/>
          <w:szCs w:val="16"/>
          <w:lang w:val="id-ID"/>
        </w:rPr>
      </w:pPr>
      <w:r w:rsidRPr="00E20AD4">
        <w:rPr>
          <w:sz w:val="16"/>
          <w:szCs w:val="16"/>
          <w:lang w:val="id-ID"/>
        </w:rPr>
        <w:t>T</w:t>
      </w:r>
      <w:r w:rsidRPr="00002E57">
        <w:rPr>
          <w:sz w:val="16"/>
          <w:szCs w:val="16"/>
          <w:lang w:val="id-ID"/>
        </w:rPr>
        <w:t>abel 6. Hasil analisis Regresi Linear Berganda</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851"/>
        <w:gridCol w:w="850"/>
        <w:gridCol w:w="709"/>
        <w:gridCol w:w="992"/>
        <w:gridCol w:w="567"/>
        <w:gridCol w:w="567"/>
      </w:tblGrid>
      <w:tr w:rsidR="00EC536B" w:rsidRPr="00002E57" w14:paraId="64F8A95E" w14:textId="77777777" w:rsidTr="006A68DC">
        <w:trPr>
          <w:cantSplit/>
        </w:trPr>
        <w:tc>
          <w:tcPr>
            <w:tcW w:w="1413" w:type="dxa"/>
            <w:gridSpan w:val="2"/>
            <w:vMerge w:val="restart"/>
            <w:tcBorders>
              <w:top w:val="single" w:sz="4" w:space="0" w:color="auto"/>
              <w:left w:val="nil"/>
              <w:bottom w:val="single" w:sz="4" w:space="0" w:color="auto"/>
              <w:right w:val="nil"/>
            </w:tcBorders>
            <w:shd w:val="clear" w:color="auto" w:fill="FFFFFF"/>
            <w:vAlign w:val="bottom"/>
          </w:tcPr>
          <w:p w14:paraId="1EA6A135" w14:textId="77777777" w:rsidR="00EC536B" w:rsidRPr="00002E57" w:rsidRDefault="00EC536B" w:rsidP="006A68DC">
            <w:pPr>
              <w:autoSpaceDE w:val="0"/>
              <w:autoSpaceDN w:val="0"/>
              <w:adjustRightInd w:val="0"/>
              <w:ind w:left="60" w:right="60"/>
              <w:jc w:val="left"/>
              <w:rPr>
                <w:color w:val="000000"/>
                <w:sz w:val="16"/>
                <w:szCs w:val="16"/>
              </w:rPr>
            </w:pPr>
            <w:r w:rsidRPr="00002E57">
              <w:rPr>
                <w:color w:val="000000"/>
                <w:sz w:val="16"/>
                <w:szCs w:val="16"/>
              </w:rPr>
              <w:t>Model</w:t>
            </w:r>
          </w:p>
        </w:tc>
        <w:tc>
          <w:tcPr>
            <w:tcW w:w="1559" w:type="dxa"/>
            <w:gridSpan w:val="2"/>
            <w:tcBorders>
              <w:top w:val="single" w:sz="4" w:space="0" w:color="auto"/>
              <w:left w:val="nil"/>
              <w:bottom w:val="single" w:sz="4" w:space="0" w:color="auto"/>
              <w:right w:val="nil"/>
            </w:tcBorders>
            <w:shd w:val="clear" w:color="auto" w:fill="FFFFFF"/>
            <w:vAlign w:val="bottom"/>
          </w:tcPr>
          <w:p w14:paraId="79833DF9"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Unstandardized Coefficients</w:t>
            </w:r>
          </w:p>
        </w:tc>
        <w:tc>
          <w:tcPr>
            <w:tcW w:w="992" w:type="dxa"/>
            <w:tcBorders>
              <w:top w:val="single" w:sz="4" w:space="0" w:color="auto"/>
              <w:left w:val="nil"/>
              <w:bottom w:val="single" w:sz="4" w:space="0" w:color="auto"/>
              <w:right w:val="nil"/>
            </w:tcBorders>
            <w:shd w:val="clear" w:color="auto" w:fill="FFFFFF"/>
            <w:vAlign w:val="bottom"/>
          </w:tcPr>
          <w:p w14:paraId="3AED83DA"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Standardized Coefficients</w:t>
            </w:r>
          </w:p>
        </w:tc>
        <w:tc>
          <w:tcPr>
            <w:tcW w:w="567" w:type="dxa"/>
            <w:vMerge w:val="restart"/>
            <w:tcBorders>
              <w:top w:val="single" w:sz="4" w:space="0" w:color="auto"/>
              <w:left w:val="nil"/>
              <w:bottom w:val="single" w:sz="4" w:space="0" w:color="auto"/>
              <w:right w:val="nil"/>
            </w:tcBorders>
            <w:shd w:val="clear" w:color="auto" w:fill="FFFFFF"/>
            <w:vAlign w:val="bottom"/>
          </w:tcPr>
          <w:p w14:paraId="44E8088E"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t</w:t>
            </w:r>
          </w:p>
        </w:tc>
        <w:tc>
          <w:tcPr>
            <w:tcW w:w="567" w:type="dxa"/>
            <w:vMerge w:val="restart"/>
            <w:tcBorders>
              <w:top w:val="single" w:sz="4" w:space="0" w:color="auto"/>
              <w:left w:val="nil"/>
              <w:bottom w:val="single" w:sz="4" w:space="0" w:color="auto"/>
              <w:right w:val="nil"/>
            </w:tcBorders>
            <w:shd w:val="clear" w:color="auto" w:fill="FFFFFF"/>
            <w:vAlign w:val="bottom"/>
          </w:tcPr>
          <w:p w14:paraId="149CF892"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Sig.</w:t>
            </w:r>
          </w:p>
        </w:tc>
      </w:tr>
      <w:tr w:rsidR="00EC536B" w:rsidRPr="00002E57" w14:paraId="63471B5A" w14:textId="77777777" w:rsidTr="006A68DC">
        <w:trPr>
          <w:cantSplit/>
        </w:trPr>
        <w:tc>
          <w:tcPr>
            <w:tcW w:w="1413" w:type="dxa"/>
            <w:gridSpan w:val="2"/>
            <w:vMerge/>
            <w:tcBorders>
              <w:top w:val="single" w:sz="4" w:space="0" w:color="auto"/>
              <w:left w:val="nil"/>
              <w:bottom w:val="single" w:sz="4" w:space="0" w:color="auto"/>
              <w:right w:val="nil"/>
            </w:tcBorders>
            <w:shd w:val="clear" w:color="auto" w:fill="FFFFFF"/>
            <w:vAlign w:val="bottom"/>
          </w:tcPr>
          <w:p w14:paraId="32865B0F" w14:textId="77777777" w:rsidR="00EC536B" w:rsidRPr="00002E57" w:rsidRDefault="00EC536B" w:rsidP="006A68DC">
            <w:pPr>
              <w:autoSpaceDE w:val="0"/>
              <w:autoSpaceDN w:val="0"/>
              <w:adjustRightInd w:val="0"/>
              <w:jc w:val="left"/>
              <w:rPr>
                <w:color w:val="000000"/>
                <w:sz w:val="16"/>
                <w:szCs w:val="16"/>
              </w:rPr>
            </w:pPr>
          </w:p>
        </w:tc>
        <w:tc>
          <w:tcPr>
            <w:tcW w:w="850" w:type="dxa"/>
            <w:tcBorders>
              <w:top w:val="single" w:sz="4" w:space="0" w:color="auto"/>
              <w:left w:val="nil"/>
              <w:bottom w:val="single" w:sz="4" w:space="0" w:color="auto"/>
              <w:right w:val="nil"/>
            </w:tcBorders>
            <w:shd w:val="clear" w:color="auto" w:fill="FFFFFF"/>
            <w:vAlign w:val="bottom"/>
          </w:tcPr>
          <w:p w14:paraId="6760151B"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B</w:t>
            </w:r>
          </w:p>
        </w:tc>
        <w:tc>
          <w:tcPr>
            <w:tcW w:w="709" w:type="dxa"/>
            <w:tcBorders>
              <w:top w:val="single" w:sz="4" w:space="0" w:color="auto"/>
              <w:left w:val="nil"/>
              <w:bottom w:val="single" w:sz="4" w:space="0" w:color="auto"/>
              <w:right w:val="nil"/>
            </w:tcBorders>
            <w:shd w:val="clear" w:color="auto" w:fill="FFFFFF"/>
            <w:vAlign w:val="bottom"/>
          </w:tcPr>
          <w:p w14:paraId="6C1691A9"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Std. Error</w:t>
            </w:r>
          </w:p>
        </w:tc>
        <w:tc>
          <w:tcPr>
            <w:tcW w:w="992" w:type="dxa"/>
            <w:tcBorders>
              <w:top w:val="single" w:sz="4" w:space="0" w:color="auto"/>
              <w:left w:val="nil"/>
              <w:bottom w:val="single" w:sz="4" w:space="0" w:color="auto"/>
              <w:right w:val="nil"/>
            </w:tcBorders>
            <w:shd w:val="clear" w:color="auto" w:fill="FFFFFF"/>
            <w:vAlign w:val="bottom"/>
          </w:tcPr>
          <w:p w14:paraId="38DEECF7" w14:textId="77777777" w:rsidR="00EC536B" w:rsidRPr="00002E57" w:rsidRDefault="00EC536B" w:rsidP="006A68DC">
            <w:pPr>
              <w:autoSpaceDE w:val="0"/>
              <w:autoSpaceDN w:val="0"/>
              <w:adjustRightInd w:val="0"/>
              <w:ind w:left="60" w:right="60"/>
              <w:jc w:val="center"/>
              <w:rPr>
                <w:color w:val="000000"/>
                <w:sz w:val="16"/>
                <w:szCs w:val="16"/>
              </w:rPr>
            </w:pPr>
            <w:r w:rsidRPr="00002E57">
              <w:rPr>
                <w:color w:val="000000"/>
                <w:sz w:val="16"/>
                <w:szCs w:val="16"/>
              </w:rPr>
              <w:t>Beta</w:t>
            </w:r>
          </w:p>
        </w:tc>
        <w:tc>
          <w:tcPr>
            <w:tcW w:w="567" w:type="dxa"/>
            <w:vMerge/>
            <w:tcBorders>
              <w:top w:val="single" w:sz="4" w:space="0" w:color="auto"/>
              <w:left w:val="nil"/>
              <w:bottom w:val="single" w:sz="4" w:space="0" w:color="auto"/>
              <w:right w:val="nil"/>
            </w:tcBorders>
            <w:shd w:val="clear" w:color="auto" w:fill="FFFFFF"/>
            <w:vAlign w:val="bottom"/>
          </w:tcPr>
          <w:p w14:paraId="5B35A136" w14:textId="77777777" w:rsidR="00EC536B" w:rsidRPr="00002E57" w:rsidRDefault="00EC536B" w:rsidP="006A68DC">
            <w:pPr>
              <w:autoSpaceDE w:val="0"/>
              <w:autoSpaceDN w:val="0"/>
              <w:adjustRightInd w:val="0"/>
              <w:jc w:val="left"/>
              <w:rPr>
                <w:color w:val="000000"/>
                <w:sz w:val="16"/>
                <w:szCs w:val="16"/>
              </w:rPr>
            </w:pPr>
          </w:p>
        </w:tc>
        <w:tc>
          <w:tcPr>
            <w:tcW w:w="567" w:type="dxa"/>
            <w:vMerge/>
            <w:tcBorders>
              <w:top w:val="single" w:sz="4" w:space="0" w:color="auto"/>
              <w:left w:val="nil"/>
              <w:bottom w:val="single" w:sz="4" w:space="0" w:color="auto"/>
              <w:right w:val="nil"/>
            </w:tcBorders>
            <w:shd w:val="clear" w:color="auto" w:fill="FFFFFF"/>
            <w:vAlign w:val="bottom"/>
          </w:tcPr>
          <w:p w14:paraId="33767A85" w14:textId="77777777" w:rsidR="00EC536B" w:rsidRPr="00002E57" w:rsidRDefault="00EC536B" w:rsidP="006A68DC">
            <w:pPr>
              <w:autoSpaceDE w:val="0"/>
              <w:autoSpaceDN w:val="0"/>
              <w:adjustRightInd w:val="0"/>
              <w:jc w:val="left"/>
              <w:rPr>
                <w:color w:val="000000"/>
                <w:sz w:val="16"/>
                <w:szCs w:val="16"/>
              </w:rPr>
            </w:pPr>
          </w:p>
        </w:tc>
      </w:tr>
      <w:tr w:rsidR="00EC536B" w:rsidRPr="00002E57" w14:paraId="54DC644A" w14:textId="77777777" w:rsidTr="006A68DC">
        <w:trPr>
          <w:cantSplit/>
        </w:trPr>
        <w:tc>
          <w:tcPr>
            <w:tcW w:w="562" w:type="dxa"/>
            <w:vMerge w:val="restart"/>
            <w:tcBorders>
              <w:top w:val="single" w:sz="4" w:space="0" w:color="auto"/>
              <w:left w:val="nil"/>
              <w:bottom w:val="single" w:sz="4" w:space="0" w:color="auto"/>
              <w:right w:val="nil"/>
            </w:tcBorders>
            <w:shd w:val="clear" w:color="auto" w:fill="FFFFFF"/>
          </w:tcPr>
          <w:p w14:paraId="39F14022" w14:textId="77777777" w:rsidR="00EC536B" w:rsidRPr="00002E57" w:rsidRDefault="00EC536B" w:rsidP="006A68DC">
            <w:pPr>
              <w:autoSpaceDE w:val="0"/>
              <w:autoSpaceDN w:val="0"/>
              <w:adjustRightInd w:val="0"/>
              <w:ind w:left="60" w:right="60"/>
              <w:jc w:val="left"/>
              <w:rPr>
                <w:color w:val="000000"/>
                <w:sz w:val="16"/>
                <w:szCs w:val="16"/>
              </w:rPr>
            </w:pPr>
            <w:r w:rsidRPr="00002E57">
              <w:rPr>
                <w:color w:val="000000"/>
                <w:sz w:val="16"/>
                <w:szCs w:val="16"/>
              </w:rPr>
              <w:t>1</w:t>
            </w:r>
          </w:p>
        </w:tc>
        <w:tc>
          <w:tcPr>
            <w:tcW w:w="851" w:type="dxa"/>
            <w:tcBorders>
              <w:top w:val="single" w:sz="4" w:space="0" w:color="auto"/>
              <w:left w:val="nil"/>
              <w:bottom w:val="single" w:sz="4" w:space="0" w:color="auto"/>
              <w:right w:val="nil"/>
            </w:tcBorders>
            <w:shd w:val="clear" w:color="auto" w:fill="FFFFFF"/>
          </w:tcPr>
          <w:p w14:paraId="77363C87" w14:textId="77777777" w:rsidR="00EC536B" w:rsidRPr="00002E57" w:rsidRDefault="00EC536B" w:rsidP="006A68DC">
            <w:pPr>
              <w:autoSpaceDE w:val="0"/>
              <w:autoSpaceDN w:val="0"/>
              <w:adjustRightInd w:val="0"/>
              <w:ind w:left="60" w:right="60"/>
              <w:jc w:val="left"/>
              <w:rPr>
                <w:color w:val="000000"/>
                <w:sz w:val="16"/>
                <w:szCs w:val="16"/>
              </w:rPr>
            </w:pPr>
            <w:r w:rsidRPr="00002E57">
              <w:rPr>
                <w:color w:val="000000"/>
                <w:sz w:val="16"/>
                <w:szCs w:val="16"/>
              </w:rPr>
              <w:t>(Constant)</w:t>
            </w:r>
          </w:p>
        </w:tc>
        <w:tc>
          <w:tcPr>
            <w:tcW w:w="850" w:type="dxa"/>
            <w:tcBorders>
              <w:top w:val="single" w:sz="4" w:space="0" w:color="auto"/>
              <w:left w:val="nil"/>
              <w:bottom w:val="single" w:sz="4" w:space="0" w:color="auto"/>
              <w:right w:val="nil"/>
            </w:tcBorders>
            <w:shd w:val="clear" w:color="auto" w:fill="FFFFFF"/>
            <w:vAlign w:val="center"/>
          </w:tcPr>
          <w:p w14:paraId="76BD019F"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634,732</w:t>
            </w:r>
          </w:p>
        </w:tc>
        <w:tc>
          <w:tcPr>
            <w:tcW w:w="709" w:type="dxa"/>
            <w:tcBorders>
              <w:top w:val="single" w:sz="4" w:space="0" w:color="auto"/>
              <w:left w:val="nil"/>
              <w:bottom w:val="single" w:sz="4" w:space="0" w:color="auto"/>
              <w:right w:val="nil"/>
            </w:tcBorders>
            <w:shd w:val="clear" w:color="auto" w:fill="FFFFFF"/>
            <w:vAlign w:val="center"/>
          </w:tcPr>
          <w:p w14:paraId="4BF43742"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903,348</w:t>
            </w:r>
          </w:p>
        </w:tc>
        <w:tc>
          <w:tcPr>
            <w:tcW w:w="992" w:type="dxa"/>
            <w:tcBorders>
              <w:top w:val="single" w:sz="4" w:space="0" w:color="auto"/>
              <w:left w:val="nil"/>
              <w:bottom w:val="single" w:sz="4" w:space="0" w:color="auto"/>
              <w:right w:val="nil"/>
            </w:tcBorders>
            <w:shd w:val="clear" w:color="auto" w:fill="FFFFFF"/>
            <w:vAlign w:val="center"/>
          </w:tcPr>
          <w:p w14:paraId="72F8BA9C" w14:textId="77777777" w:rsidR="00EC536B" w:rsidRPr="00002E57" w:rsidRDefault="00EC536B" w:rsidP="006A68DC">
            <w:pPr>
              <w:autoSpaceDE w:val="0"/>
              <w:autoSpaceDN w:val="0"/>
              <w:adjustRightInd w:val="0"/>
              <w:jc w:val="left"/>
              <w:rPr>
                <w:sz w:val="16"/>
                <w:szCs w:val="16"/>
              </w:rPr>
            </w:pPr>
          </w:p>
        </w:tc>
        <w:tc>
          <w:tcPr>
            <w:tcW w:w="567" w:type="dxa"/>
            <w:tcBorders>
              <w:top w:val="single" w:sz="4" w:space="0" w:color="auto"/>
              <w:left w:val="nil"/>
              <w:bottom w:val="single" w:sz="4" w:space="0" w:color="auto"/>
              <w:right w:val="nil"/>
            </w:tcBorders>
            <w:shd w:val="clear" w:color="auto" w:fill="FFFFFF"/>
            <w:vAlign w:val="center"/>
          </w:tcPr>
          <w:p w14:paraId="4B1BF87E"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,703</w:t>
            </w:r>
          </w:p>
        </w:tc>
        <w:tc>
          <w:tcPr>
            <w:tcW w:w="567" w:type="dxa"/>
            <w:tcBorders>
              <w:top w:val="single" w:sz="4" w:space="0" w:color="auto"/>
              <w:left w:val="nil"/>
              <w:bottom w:val="single" w:sz="4" w:space="0" w:color="auto"/>
              <w:right w:val="nil"/>
            </w:tcBorders>
            <w:shd w:val="clear" w:color="auto" w:fill="FFFFFF"/>
            <w:vAlign w:val="center"/>
          </w:tcPr>
          <w:p w14:paraId="0B18E380"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,487</w:t>
            </w:r>
          </w:p>
        </w:tc>
      </w:tr>
      <w:tr w:rsidR="00EC536B" w:rsidRPr="00002E57" w14:paraId="52080C7E" w14:textId="77777777" w:rsidTr="006A68DC">
        <w:trPr>
          <w:cantSplit/>
        </w:trPr>
        <w:tc>
          <w:tcPr>
            <w:tcW w:w="562" w:type="dxa"/>
            <w:vMerge/>
            <w:tcBorders>
              <w:top w:val="single" w:sz="4" w:space="0" w:color="auto"/>
              <w:left w:val="nil"/>
              <w:bottom w:val="single" w:sz="4" w:space="0" w:color="auto"/>
              <w:right w:val="nil"/>
            </w:tcBorders>
            <w:shd w:val="clear" w:color="auto" w:fill="FFFFFF"/>
          </w:tcPr>
          <w:p w14:paraId="26004CF7" w14:textId="77777777" w:rsidR="00EC536B" w:rsidRPr="00002E57" w:rsidRDefault="00EC536B" w:rsidP="006A68DC">
            <w:pPr>
              <w:autoSpaceDE w:val="0"/>
              <w:autoSpaceDN w:val="0"/>
              <w:adjustRightInd w:val="0"/>
              <w:jc w:val="left"/>
              <w:rPr>
                <w:color w:val="000000"/>
                <w:sz w:val="16"/>
                <w:szCs w:val="16"/>
              </w:rPr>
            </w:pPr>
          </w:p>
        </w:tc>
        <w:tc>
          <w:tcPr>
            <w:tcW w:w="851" w:type="dxa"/>
            <w:tcBorders>
              <w:top w:val="single" w:sz="4" w:space="0" w:color="auto"/>
              <w:left w:val="nil"/>
              <w:bottom w:val="single" w:sz="4" w:space="0" w:color="auto"/>
              <w:right w:val="nil"/>
            </w:tcBorders>
            <w:shd w:val="clear" w:color="auto" w:fill="FFFFFF"/>
          </w:tcPr>
          <w:p w14:paraId="749570A6" w14:textId="77777777" w:rsidR="00EC536B" w:rsidRPr="00002E57" w:rsidRDefault="00EC536B" w:rsidP="006A68DC">
            <w:pPr>
              <w:autoSpaceDE w:val="0"/>
              <w:autoSpaceDN w:val="0"/>
              <w:adjustRightInd w:val="0"/>
              <w:ind w:left="60" w:right="60"/>
              <w:jc w:val="left"/>
              <w:rPr>
                <w:color w:val="000000"/>
                <w:sz w:val="16"/>
                <w:szCs w:val="16"/>
              </w:rPr>
            </w:pPr>
            <w:r w:rsidRPr="00002E57">
              <w:rPr>
                <w:color w:val="000000"/>
                <w:sz w:val="16"/>
                <w:szCs w:val="16"/>
              </w:rPr>
              <w:t>ROA</w:t>
            </w:r>
          </w:p>
        </w:tc>
        <w:tc>
          <w:tcPr>
            <w:tcW w:w="850" w:type="dxa"/>
            <w:tcBorders>
              <w:top w:val="single" w:sz="4" w:space="0" w:color="auto"/>
              <w:left w:val="nil"/>
              <w:bottom w:val="single" w:sz="4" w:space="0" w:color="auto"/>
              <w:right w:val="nil"/>
            </w:tcBorders>
            <w:shd w:val="clear" w:color="auto" w:fill="FFFFFF"/>
            <w:vAlign w:val="center"/>
          </w:tcPr>
          <w:p w14:paraId="240F971A"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1660,500</w:t>
            </w:r>
          </w:p>
        </w:tc>
        <w:tc>
          <w:tcPr>
            <w:tcW w:w="709" w:type="dxa"/>
            <w:tcBorders>
              <w:top w:val="single" w:sz="4" w:space="0" w:color="auto"/>
              <w:left w:val="nil"/>
              <w:bottom w:val="single" w:sz="4" w:space="0" w:color="auto"/>
              <w:right w:val="nil"/>
            </w:tcBorders>
            <w:shd w:val="clear" w:color="auto" w:fill="FFFFFF"/>
            <w:vAlign w:val="center"/>
          </w:tcPr>
          <w:p w14:paraId="05249199"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494,036</w:t>
            </w:r>
          </w:p>
        </w:tc>
        <w:tc>
          <w:tcPr>
            <w:tcW w:w="992" w:type="dxa"/>
            <w:tcBorders>
              <w:top w:val="single" w:sz="4" w:space="0" w:color="auto"/>
              <w:left w:val="nil"/>
              <w:bottom w:val="single" w:sz="4" w:space="0" w:color="auto"/>
              <w:right w:val="nil"/>
            </w:tcBorders>
            <w:shd w:val="clear" w:color="auto" w:fill="FFFFFF"/>
            <w:vAlign w:val="center"/>
          </w:tcPr>
          <w:p w14:paraId="66F24331"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,472</w:t>
            </w:r>
          </w:p>
        </w:tc>
        <w:tc>
          <w:tcPr>
            <w:tcW w:w="567" w:type="dxa"/>
            <w:tcBorders>
              <w:top w:val="single" w:sz="4" w:space="0" w:color="auto"/>
              <w:left w:val="nil"/>
              <w:bottom w:val="single" w:sz="4" w:space="0" w:color="auto"/>
              <w:right w:val="nil"/>
            </w:tcBorders>
            <w:shd w:val="clear" w:color="auto" w:fill="FFFFFF"/>
            <w:vAlign w:val="center"/>
          </w:tcPr>
          <w:p w14:paraId="770899DF"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3,361</w:t>
            </w:r>
          </w:p>
        </w:tc>
        <w:tc>
          <w:tcPr>
            <w:tcW w:w="567" w:type="dxa"/>
            <w:tcBorders>
              <w:top w:val="single" w:sz="4" w:space="0" w:color="auto"/>
              <w:left w:val="nil"/>
              <w:bottom w:val="single" w:sz="4" w:space="0" w:color="auto"/>
              <w:right w:val="nil"/>
            </w:tcBorders>
            <w:shd w:val="clear" w:color="auto" w:fill="FFFFFF"/>
            <w:vAlign w:val="center"/>
          </w:tcPr>
          <w:p w14:paraId="2003EF82"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,002</w:t>
            </w:r>
          </w:p>
        </w:tc>
      </w:tr>
      <w:tr w:rsidR="00EC536B" w:rsidRPr="00002E57" w14:paraId="3AE5CD4C" w14:textId="77777777" w:rsidTr="006A68DC">
        <w:trPr>
          <w:cantSplit/>
        </w:trPr>
        <w:tc>
          <w:tcPr>
            <w:tcW w:w="562" w:type="dxa"/>
            <w:vMerge/>
            <w:tcBorders>
              <w:top w:val="single" w:sz="4" w:space="0" w:color="auto"/>
              <w:left w:val="nil"/>
              <w:bottom w:val="single" w:sz="4" w:space="0" w:color="auto"/>
              <w:right w:val="nil"/>
            </w:tcBorders>
            <w:shd w:val="clear" w:color="auto" w:fill="FFFFFF"/>
          </w:tcPr>
          <w:p w14:paraId="19D41571" w14:textId="77777777" w:rsidR="00EC536B" w:rsidRPr="00002E57" w:rsidRDefault="00EC536B" w:rsidP="006A68DC">
            <w:pPr>
              <w:autoSpaceDE w:val="0"/>
              <w:autoSpaceDN w:val="0"/>
              <w:adjustRightInd w:val="0"/>
              <w:jc w:val="left"/>
              <w:rPr>
                <w:color w:val="000000"/>
                <w:sz w:val="16"/>
                <w:szCs w:val="16"/>
              </w:rPr>
            </w:pPr>
          </w:p>
        </w:tc>
        <w:tc>
          <w:tcPr>
            <w:tcW w:w="851" w:type="dxa"/>
            <w:tcBorders>
              <w:top w:val="single" w:sz="4" w:space="0" w:color="auto"/>
              <w:left w:val="nil"/>
              <w:bottom w:val="single" w:sz="4" w:space="0" w:color="auto"/>
              <w:right w:val="nil"/>
            </w:tcBorders>
            <w:shd w:val="clear" w:color="auto" w:fill="FFFFFF"/>
          </w:tcPr>
          <w:p w14:paraId="78475774" w14:textId="77777777" w:rsidR="00EC536B" w:rsidRPr="00002E57" w:rsidRDefault="00EC536B" w:rsidP="006A68DC">
            <w:pPr>
              <w:autoSpaceDE w:val="0"/>
              <w:autoSpaceDN w:val="0"/>
              <w:adjustRightInd w:val="0"/>
              <w:ind w:left="60" w:right="60"/>
              <w:jc w:val="left"/>
              <w:rPr>
                <w:color w:val="000000"/>
                <w:sz w:val="16"/>
                <w:szCs w:val="16"/>
              </w:rPr>
            </w:pPr>
            <w:r w:rsidRPr="00002E57">
              <w:rPr>
                <w:color w:val="000000"/>
                <w:sz w:val="16"/>
                <w:szCs w:val="16"/>
              </w:rPr>
              <w:t>ROE</w:t>
            </w:r>
          </w:p>
        </w:tc>
        <w:tc>
          <w:tcPr>
            <w:tcW w:w="850" w:type="dxa"/>
            <w:tcBorders>
              <w:top w:val="single" w:sz="4" w:space="0" w:color="auto"/>
              <w:left w:val="nil"/>
              <w:bottom w:val="single" w:sz="4" w:space="0" w:color="auto"/>
              <w:right w:val="nil"/>
            </w:tcBorders>
            <w:shd w:val="clear" w:color="auto" w:fill="FFFFFF"/>
            <w:vAlign w:val="center"/>
          </w:tcPr>
          <w:p w14:paraId="63F30150"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20,098</w:t>
            </w:r>
          </w:p>
        </w:tc>
        <w:tc>
          <w:tcPr>
            <w:tcW w:w="709" w:type="dxa"/>
            <w:tcBorders>
              <w:top w:val="single" w:sz="4" w:space="0" w:color="auto"/>
              <w:left w:val="nil"/>
              <w:bottom w:val="single" w:sz="4" w:space="0" w:color="auto"/>
              <w:right w:val="nil"/>
            </w:tcBorders>
            <w:shd w:val="clear" w:color="auto" w:fill="FFFFFF"/>
            <w:vAlign w:val="center"/>
          </w:tcPr>
          <w:p w14:paraId="7C8643C8"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14,449</w:t>
            </w:r>
          </w:p>
        </w:tc>
        <w:tc>
          <w:tcPr>
            <w:tcW w:w="992" w:type="dxa"/>
            <w:tcBorders>
              <w:top w:val="single" w:sz="4" w:space="0" w:color="auto"/>
              <w:left w:val="nil"/>
              <w:bottom w:val="single" w:sz="4" w:space="0" w:color="auto"/>
              <w:right w:val="nil"/>
            </w:tcBorders>
            <w:shd w:val="clear" w:color="auto" w:fill="FFFFFF"/>
            <w:vAlign w:val="center"/>
          </w:tcPr>
          <w:p w14:paraId="45E35B2C"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,195</w:t>
            </w:r>
          </w:p>
        </w:tc>
        <w:tc>
          <w:tcPr>
            <w:tcW w:w="567" w:type="dxa"/>
            <w:tcBorders>
              <w:top w:val="single" w:sz="4" w:space="0" w:color="auto"/>
              <w:left w:val="nil"/>
              <w:bottom w:val="single" w:sz="4" w:space="0" w:color="auto"/>
              <w:right w:val="nil"/>
            </w:tcBorders>
            <w:shd w:val="clear" w:color="auto" w:fill="FFFFFF"/>
            <w:vAlign w:val="center"/>
          </w:tcPr>
          <w:p w14:paraId="3E2D8937"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1,391</w:t>
            </w:r>
          </w:p>
        </w:tc>
        <w:tc>
          <w:tcPr>
            <w:tcW w:w="567" w:type="dxa"/>
            <w:tcBorders>
              <w:top w:val="single" w:sz="4" w:space="0" w:color="auto"/>
              <w:left w:val="nil"/>
              <w:bottom w:val="single" w:sz="4" w:space="0" w:color="auto"/>
              <w:right w:val="nil"/>
            </w:tcBorders>
            <w:shd w:val="clear" w:color="auto" w:fill="FFFFFF"/>
            <w:vAlign w:val="center"/>
          </w:tcPr>
          <w:p w14:paraId="73F5E1D6" w14:textId="77777777" w:rsidR="00EC536B" w:rsidRPr="00002E57" w:rsidRDefault="00EC536B" w:rsidP="006A68DC">
            <w:pPr>
              <w:autoSpaceDE w:val="0"/>
              <w:autoSpaceDN w:val="0"/>
              <w:adjustRightInd w:val="0"/>
              <w:ind w:left="60" w:right="60"/>
              <w:jc w:val="right"/>
              <w:rPr>
                <w:color w:val="000000"/>
                <w:sz w:val="16"/>
                <w:szCs w:val="16"/>
              </w:rPr>
            </w:pPr>
            <w:r w:rsidRPr="00002E57">
              <w:rPr>
                <w:color w:val="000000"/>
                <w:sz w:val="16"/>
                <w:szCs w:val="16"/>
              </w:rPr>
              <w:t>,173</w:t>
            </w:r>
          </w:p>
        </w:tc>
      </w:tr>
      <w:tr w:rsidR="00EC536B" w:rsidRPr="00002E57" w14:paraId="64907928" w14:textId="77777777" w:rsidTr="006A68DC">
        <w:trPr>
          <w:cantSplit/>
        </w:trPr>
        <w:tc>
          <w:tcPr>
            <w:tcW w:w="5098" w:type="dxa"/>
            <w:gridSpan w:val="7"/>
            <w:tcBorders>
              <w:top w:val="single" w:sz="4" w:space="0" w:color="auto"/>
              <w:left w:val="nil"/>
              <w:bottom w:val="single" w:sz="4" w:space="0" w:color="auto"/>
              <w:right w:val="nil"/>
            </w:tcBorders>
            <w:shd w:val="clear" w:color="auto" w:fill="FFFFFF"/>
          </w:tcPr>
          <w:p w14:paraId="1D01AE82" w14:textId="77777777" w:rsidR="00EC536B" w:rsidRPr="00002E57" w:rsidRDefault="00EC536B" w:rsidP="006A68DC">
            <w:pPr>
              <w:autoSpaceDE w:val="0"/>
              <w:autoSpaceDN w:val="0"/>
              <w:adjustRightInd w:val="0"/>
              <w:ind w:left="60" w:right="60"/>
              <w:jc w:val="left"/>
              <w:rPr>
                <w:color w:val="000000"/>
                <w:sz w:val="16"/>
                <w:szCs w:val="16"/>
              </w:rPr>
            </w:pPr>
            <w:r w:rsidRPr="00002E57">
              <w:rPr>
                <w:color w:val="000000"/>
                <w:sz w:val="16"/>
                <w:szCs w:val="16"/>
              </w:rPr>
              <w:t>a. Dependent Variable: Harga Saham</w:t>
            </w:r>
          </w:p>
        </w:tc>
      </w:tr>
    </w:tbl>
    <w:p w14:paraId="1584DBC2" w14:textId="77777777" w:rsidR="00EC536B" w:rsidRPr="0092544B" w:rsidRDefault="00EC536B" w:rsidP="00EC536B">
      <w:pPr>
        <w:rPr>
          <w:sz w:val="18"/>
          <w:szCs w:val="18"/>
          <w:lang w:val="id-ID"/>
        </w:rPr>
      </w:pPr>
      <w:r w:rsidRPr="00002E57">
        <w:rPr>
          <w:sz w:val="16"/>
          <w:szCs w:val="16"/>
        </w:rPr>
        <w:t xml:space="preserve">Sumber : </w:t>
      </w:r>
      <w:r w:rsidRPr="00002E57">
        <w:rPr>
          <w:sz w:val="16"/>
          <w:szCs w:val="16"/>
          <w:lang w:val="id-ID"/>
        </w:rPr>
        <w:t>(Hasil Olah Data SPSS v22</w:t>
      </w:r>
      <w:r w:rsidRPr="00002E57">
        <w:rPr>
          <w:sz w:val="16"/>
          <w:szCs w:val="16"/>
        </w:rPr>
        <w:t>, 2023</w:t>
      </w:r>
      <w:r w:rsidRPr="00002E57">
        <w:rPr>
          <w:sz w:val="16"/>
          <w:szCs w:val="16"/>
          <w:lang w:val="id-ID"/>
        </w:rPr>
        <w:t>)</w:t>
      </w:r>
    </w:p>
    <w:p w14:paraId="597F8E3C" w14:textId="77777777" w:rsidR="007C54EA" w:rsidRDefault="007C54EA" w:rsidP="00EC536B">
      <w:pPr>
        <w:autoSpaceDE w:val="0"/>
        <w:autoSpaceDN w:val="0"/>
        <w:adjustRightInd w:val="0"/>
        <w:ind w:firstLine="284"/>
        <w:rPr>
          <w:szCs w:val="24"/>
        </w:rPr>
      </w:pPr>
    </w:p>
    <w:p w14:paraId="24EF6E5B" w14:textId="5E0AA598" w:rsidR="00EC536B" w:rsidRPr="004D622D" w:rsidRDefault="00EC536B" w:rsidP="00DC433C">
      <w:pPr>
        <w:autoSpaceDE w:val="0"/>
        <w:autoSpaceDN w:val="0"/>
        <w:adjustRightInd w:val="0"/>
        <w:ind w:firstLine="567"/>
        <w:rPr>
          <w:szCs w:val="24"/>
        </w:rPr>
      </w:pPr>
      <w:r w:rsidRPr="004D622D">
        <w:rPr>
          <w:szCs w:val="24"/>
        </w:rPr>
        <w:t>Berdasarkan hasil analisis regresi linear berganda diatas dapat diketahui persamaan linear berganda dalam penelitian ini sebagai berrikut:</w:t>
      </w:r>
    </w:p>
    <w:p w14:paraId="10695A79" w14:textId="77777777" w:rsidR="00EC536B" w:rsidRPr="004D622D" w:rsidRDefault="00EC536B" w:rsidP="00EC536B">
      <w:pPr>
        <w:autoSpaceDE w:val="0"/>
        <w:autoSpaceDN w:val="0"/>
        <w:adjustRightInd w:val="0"/>
        <w:rPr>
          <w:szCs w:val="24"/>
        </w:rPr>
      </w:pPr>
      <w:r w:rsidRPr="004D622D">
        <w:rPr>
          <w:szCs w:val="24"/>
        </w:rPr>
        <w:t>Y= α + β 1X1 + β 2X2 + e</w:t>
      </w:r>
    </w:p>
    <w:p w14:paraId="34C09D63" w14:textId="438DAEB3" w:rsidR="00EC536B" w:rsidRDefault="00EC536B" w:rsidP="00EC536B">
      <w:pPr>
        <w:autoSpaceDE w:val="0"/>
        <w:autoSpaceDN w:val="0"/>
        <w:adjustRightInd w:val="0"/>
        <w:rPr>
          <w:szCs w:val="24"/>
        </w:rPr>
      </w:pPr>
      <w:r w:rsidRPr="004D622D">
        <w:rPr>
          <w:szCs w:val="24"/>
        </w:rPr>
        <w:t>Y=  634.732 + (</w:t>
      </w:r>
      <w:r w:rsidRPr="004D622D">
        <w:rPr>
          <w:szCs w:val="24"/>
          <w:lang w:val="id-ID"/>
        </w:rPr>
        <w:t>1660,500</w:t>
      </w:r>
      <w:r w:rsidRPr="004D622D">
        <w:rPr>
          <w:szCs w:val="24"/>
        </w:rPr>
        <w:t>)X1 + (20,098) X2+ e</w:t>
      </w:r>
    </w:p>
    <w:p w14:paraId="03D027ED" w14:textId="3AB9ADA2" w:rsidR="00EC536B" w:rsidRPr="004D622D" w:rsidRDefault="00EC536B" w:rsidP="00EC536B">
      <w:pPr>
        <w:autoSpaceDE w:val="0"/>
        <w:autoSpaceDN w:val="0"/>
        <w:adjustRightInd w:val="0"/>
        <w:rPr>
          <w:szCs w:val="24"/>
        </w:rPr>
      </w:pPr>
      <w:r w:rsidRPr="004D622D">
        <w:rPr>
          <w:szCs w:val="24"/>
          <w:lang w:val="id-ID"/>
        </w:rPr>
        <w:t>Dari persamaan regresi di atas, maka dapat disimpulkan sebagai berikut:</w:t>
      </w:r>
    </w:p>
    <w:p w14:paraId="63985888" w14:textId="77777777" w:rsidR="00EC536B" w:rsidRPr="004D622D" w:rsidRDefault="00EC536B" w:rsidP="00EC536B">
      <w:pPr>
        <w:numPr>
          <w:ilvl w:val="2"/>
          <w:numId w:val="4"/>
        </w:numPr>
        <w:autoSpaceDE w:val="0"/>
        <w:autoSpaceDN w:val="0"/>
        <w:adjustRightInd w:val="0"/>
        <w:ind w:left="284" w:hanging="283"/>
        <w:contextualSpacing/>
        <w:rPr>
          <w:szCs w:val="24"/>
        </w:rPr>
      </w:pPr>
      <w:r w:rsidRPr="004D622D">
        <w:rPr>
          <w:szCs w:val="24"/>
        </w:rPr>
        <w:t xml:space="preserve">Nilai konstanta (α) sebesar 634,732 dengan arah positif menunjukkan bahwa semua variabel </w:t>
      </w:r>
      <w:r w:rsidRPr="004D622D">
        <w:rPr>
          <w:szCs w:val="24"/>
          <w:lang w:val="id-ID"/>
        </w:rPr>
        <w:t>ROA</w:t>
      </w:r>
      <w:r w:rsidRPr="004D622D">
        <w:rPr>
          <w:szCs w:val="24"/>
        </w:rPr>
        <w:t xml:space="preserve"> dan ROE</w:t>
      </w:r>
      <w:r w:rsidRPr="004D622D">
        <w:rPr>
          <w:szCs w:val="24"/>
          <w:lang w:val="id-ID"/>
        </w:rPr>
        <w:t xml:space="preserve"> (</w:t>
      </w:r>
      <w:r w:rsidRPr="004D622D">
        <w:rPr>
          <w:szCs w:val="24"/>
        </w:rPr>
        <w:t>independen</w:t>
      </w:r>
      <w:r w:rsidRPr="004D622D">
        <w:rPr>
          <w:szCs w:val="24"/>
          <w:lang w:val="id-ID"/>
        </w:rPr>
        <w:t>)</w:t>
      </w:r>
      <w:r w:rsidRPr="004D622D">
        <w:rPr>
          <w:szCs w:val="24"/>
        </w:rPr>
        <w:t xml:space="preserve">, </w:t>
      </w:r>
      <w:r w:rsidRPr="004D622D">
        <w:rPr>
          <w:szCs w:val="24"/>
          <w:lang w:val="id-ID"/>
        </w:rPr>
        <w:t xml:space="preserve">maka variabel harga saham (dependen)  </w:t>
      </w:r>
      <w:r w:rsidRPr="004D622D">
        <w:rPr>
          <w:szCs w:val="24"/>
        </w:rPr>
        <w:t>pada perusahaan </w:t>
      </w:r>
      <w:r w:rsidRPr="004D622D">
        <w:rPr>
          <w:szCs w:val="24"/>
          <w:lang w:val="id-ID"/>
        </w:rPr>
        <w:t>perbankan</w:t>
      </w:r>
      <w:r w:rsidRPr="004D622D">
        <w:rPr>
          <w:szCs w:val="24"/>
        </w:rPr>
        <w:t> yang terdaftar di Bursa Efek Indonesia di periode 2019-2022 bernilai</w:t>
      </w:r>
      <w:r w:rsidRPr="004D622D">
        <w:rPr>
          <w:szCs w:val="24"/>
          <w:lang w:val="id-ID"/>
        </w:rPr>
        <w:t xml:space="preserve"> 634,732%</w:t>
      </w:r>
      <w:r w:rsidRPr="004D622D">
        <w:rPr>
          <w:szCs w:val="24"/>
        </w:rPr>
        <w:t> .</w:t>
      </w:r>
    </w:p>
    <w:p w14:paraId="66894467" w14:textId="77777777" w:rsidR="00EC536B" w:rsidRPr="004D622D" w:rsidRDefault="00EC536B" w:rsidP="00EC536B">
      <w:pPr>
        <w:numPr>
          <w:ilvl w:val="2"/>
          <w:numId w:val="4"/>
        </w:numPr>
        <w:autoSpaceDE w:val="0"/>
        <w:autoSpaceDN w:val="0"/>
        <w:adjustRightInd w:val="0"/>
        <w:ind w:left="284" w:hanging="283"/>
        <w:contextualSpacing/>
        <w:rPr>
          <w:szCs w:val="24"/>
        </w:rPr>
      </w:pPr>
      <w:r w:rsidRPr="004D622D">
        <w:rPr>
          <w:szCs w:val="24"/>
        </w:rPr>
        <w:t xml:space="preserve">Nilai koefisien regresi linear berganda pada </w:t>
      </w:r>
      <w:r w:rsidRPr="004D622D">
        <w:rPr>
          <w:szCs w:val="24"/>
          <w:lang w:val="id-ID"/>
        </w:rPr>
        <w:t>ROA</w:t>
      </w:r>
      <w:r w:rsidRPr="004D622D">
        <w:rPr>
          <w:szCs w:val="24"/>
        </w:rPr>
        <w:t xml:space="preserve"> (X1) sebesar </w:t>
      </w:r>
      <w:r w:rsidRPr="004D622D">
        <w:rPr>
          <w:szCs w:val="24"/>
          <w:lang w:val="id-ID"/>
        </w:rPr>
        <w:t xml:space="preserve">1660,500 </w:t>
      </w:r>
      <w:r w:rsidRPr="004D622D">
        <w:rPr>
          <w:szCs w:val="24"/>
        </w:rPr>
        <w:t xml:space="preserve">maka terdapat pengaruh positif antara variabel </w:t>
      </w:r>
      <w:r w:rsidRPr="004D622D">
        <w:rPr>
          <w:szCs w:val="24"/>
          <w:lang w:val="id-ID"/>
        </w:rPr>
        <w:t>ROA</w:t>
      </w:r>
      <w:r w:rsidRPr="004D622D">
        <w:rPr>
          <w:szCs w:val="24"/>
        </w:rPr>
        <w:t xml:space="preserve"> (X1) terhadap variabel harga saham (Y) sebesar </w:t>
      </w:r>
      <w:r w:rsidRPr="004D622D">
        <w:rPr>
          <w:szCs w:val="24"/>
          <w:lang w:val="id-ID"/>
        </w:rPr>
        <w:t>1660,500%</w:t>
      </w:r>
      <w:r w:rsidRPr="004D622D">
        <w:rPr>
          <w:szCs w:val="24"/>
        </w:rPr>
        <w:t>.</w:t>
      </w:r>
    </w:p>
    <w:p w14:paraId="3F946D68" w14:textId="0C43F86A" w:rsidR="0076220C" w:rsidRPr="00B3412C" w:rsidRDefault="00EC536B" w:rsidP="00B3412C">
      <w:pPr>
        <w:numPr>
          <w:ilvl w:val="2"/>
          <w:numId w:val="4"/>
        </w:numPr>
        <w:autoSpaceDE w:val="0"/>
        <w:autoSpaceDN w:val="0"/>
        <w:adjustRightInd w:val="0"/>
        <w:ind w:left="284" w:hanging="283"/>
        <w:contextualSpacing/>
        <w:rPr>
          <w:szCs w:val="24"/>
        </w:rPr>
      </w:pPr>
      <w:r w:rsidRPr="004D622D">
        <w:rPr>
          <w:szCs w:val="24"/>
        </w:rPr>
        <w:t>Nilai koefisien regresi linear berganda pada ROE (X2) sebesar 20,098 maka terdapat pengaruh positif antara variabel ROE</w:t>
      </w:r>
      <w:r w:rsidRPr="004D622D">
        <w:rPr>
          <w:szCs w:val="24"/>
          <w:lang w:val="id-ID"/>
        </w:rPr>
        <w:t xml:space="preserve"> </w:t>
      </w:r>
      <w:r w:rsidRPr="004D622D">
        <w:rPr>
          <w:szCs w:val="24"/>
        </w:rPr>
        <w:t xml:space="preserve"> (X2) terhadap variabel harga saham (Y) sebesar 20,098</w:t>
      </w:r>
      <w:r w:rsidRPr="004D622D">
        <w:rPr>
          <w:szCs w:val="24"/>
          <w:lang w:val="id-ID"/>
        </w:rPr>
        <w:t>%.</w:t>
      </w:r>
    </w:p>
    <w:p w14:paraId="31BA1AB7" w14:textId="734FEA2E" w:rsidR="00284FDD" w:rsidRPr="002D796C" w:rsidRDefault="003C6867" w:rsidP="00284FDD">
      <w:pPr>
        <w:pStyle w:val="Heading3"/>
        <w:numPr>
          <w:ilvl w:val="0"/>
          <w:numId w:val="0"/>
        </w:numPr>
        <w:spacing w:before="0" w:line="240" w:lineRule="auto"/>
        <w:ind w:left="720" w:hanging="720"/>
        <w:rPr>
          <w:b w:val="0"/>
          <w:bCs/>
          <w:sz w:val="20"/>
          <w:szCs w:val="20"/>
          <w:lang w:val="id-ID"/>
        </w:rPr>
      </w:pPr>
      <w:bookmarkStart w:id="5" w:name="_Toc136900759"/>
      <w:r>
        <w:rPr>
          <w:b w:val="0"/>
          <w:bCs/>
          <w:sz w:val="20"/>
          <w:szCs w:val="20"/>
        </w:rPr>
        <w:t>6. U</w:t>
      </w:r>
      <w:r w:rsidR="00284FDD" w:rsidRPr="002D796C">
        <w:rPr>
          <w:b w:val="0"/>
          <w:bCs/>
          <w:sz w:val="20"/>
          <w:szCs w:val="20"/>
          <w:lang w:val="id-ID"/>
        </w:rPr>
        <w:t>ji Hipotesis</w:t>
      </w:r>
      <w:bookmarkEnd w:id="5"/>
    </w:p>
    <w:p w14:paraId="4B9FA92F" w14:textId="67F43D32" w:rsidR="00284FDD" w:rsidRDefault="00A77045" w:rsidP="00284FDD">
      <w:pPr>
        <w:contextualSpacing/>
      </w:pPr>
      <w:r>
        <w:t xml:space="preserve">Berikut </w:t>
      </w:r>
      <w:r w:rsidR="00284FDD" w:rsidRPr="004D622D">
        <w:rPr>
          <w:lang w:val="id-ID"/>
        </w:rPr>
        <w:t>Uji Parsial (t Test)</w:t>
      </w:r>
      <w:r w:rsidR="003C2B36">
        <w:t>:</w:t>
      </w:r>
    </w:p>
    <w:p w14:paraId="6A000D04" w14:textId="77777777" w:rsidR="003C2B36" w:rsidRPr="003C2B36" w:rsidRDefault="003C2B36" w:rsidP="00284FDD">
      <w:pPr>
        <w:contextualSpacing/>
      </w:pPr>
    </w:p>
    <w:p w14:paraId="472A4D96" w14:textId="77777777" w:rsidR="00284FDD" w:rsidRPr="00811D92" w:rsidRDefault="00284FDD" w:rsidP="00811D92">
      <w:pPr>
        <w:contextualSpacing/>
        <w:jc w:val="center"/>
        <w:rPr>
          <w:sz w:val="16"/>
          <w:szCs w:val="16"/>
          <w:lang w:val="id-ID"/>
        </w:rPr>
      </w:pPr>
      <w:r w:rsidRPr="00811D92">
        <w:rPr>
          <w:sz w:val="16"/>
          <w:szCs w:val="16"/>
          <w:lang w:val="id-ID"/>
        </w:rPr>
        <w:t>Tabel 7. Hasil uji parsial 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2"/>
        <w:gridCol w:w="769"/>
        <w:gridCol w:w="706"/>
        <w:gridCol w:w="641"/>
        <w:gridCol w:w="899"/>
        <w:gridCol w:w="510"/>
        <w:gridCol w:w="445"/>
      </w:tblGrid>
      <w:tr w:rsidR="000B0306" w:rsidRPr="00811D92" w14:paraId="0ED0D765" w14:textId="77777777" w:rsidTr="000B0306">
        <w:tc>
          <w:tcPr>
            <w:tcW w:w="1236" w:type="pct"/>
            <w:gridSpan w:val="2"/>
            <w:vMerge w:val="restart"/>
          </w:tcPr>
          <w:p w14:paraId="1A657CDD" w14:textId="77777777" w:rsidR="00F654AA" w:rsidRPr="00811D92" w:rsidRDefault="00F654AA" w:rsidP="00F654AA">
            <w:pPr>
              <w:contextualSpacing/>
              <w:jc w:val="center"/>
              <w:rPr>
                <w:rFonts w:ascii="Times New Roman" w:hAnsi="Times New Roman"/>
                <w:color w:val="000000"/>
                <w:sz w:val="16"/>
                <w:szCs w:val="16"/>
              </w:rPr>
            </w:pPr>
          </w:p>
          <w:p w14:paraId="74009D23" w14:textId="77777777" w:rsidR="00F654AA" w:rsidRPr="00811D92" w:rsidRDefault="00F654AA" w:rsidP="00F654AA">
            <w:pPr>
              <w:contextualSpacing/>
              <w:jc w:val="center"/>
              <w:rPr>
                <w:rFonts w:ascii="Times New Roman" w:hAnsi="Times New Roman"/>
                <w:color w:val="000000"/>
                <w:sz w:val="16"/>
                <w:szCs w:val="16"/>
              </w:rPr>
            </w:pPr>
          </w:p>
          <w:p w14:paraId="4DFC1BA3" w14:textId="77777777" w:rsidR="00F654AA" w:rsidRPr="00811D92" w:rsidRDefault="00F654AA" w:rsidP="00F654AA">
            <w:pPr>
              <w:contextualSpacing/>
              <w:jc w:val="center"/>
              <w:rPr>
                <w:rFonts w:ascii="Times New Roman" w:hAnsi="Times New Roman"/>
                <w:color w:val="000000"/>
                <w:sz w:val="16"/>
                <w:szCs w:val="16"/>
              </w:rPr>
            </w:pPr>
          </w:p>
          <w:p w14:paraId="04854CFD" w14:textId="56993110" w:rsidR="00F654AA" w:rsidRPr="00811D92" w:rsidRDefault="00F654AA" w:rsidP="000B0306">
            <w:pPr>
              <w:ind w:right="-53"/>
              <w:contextualSpacing/>
              <w:jc w:val="center"/>
              <w:rPr>
                <w:rFonts w:ascii="Times New Roman" w:hAnsi="Times New Roman"/>
                <w:sz w:val="16"/>
                <w:szCs w:val="16"/>
                <w:lang w:val="id-ID"/>
              </w:rPr>
            </w:pPr>
            <w:r w:rsidRPr="00811D92">
              <w:rPr>
                <w:rFonts w:ascii="Times New Roman" w:hAnsi="Times New Roman"/>
                <w:color w:val="000000"/>
                <w:sz w:val="16"/>
                <w:szCs w:val="16"/>
              </w:rPr>
              <w:t>Model</w:t>
            </w:r>
          </w:p>
        </w:tc>
        <w:tc>
          <w:tcPr>
            <w:tcW w:w="1584" w:type="pct"/>
            <w:gridSpan w:val="2"/>
          </w:tcPr>
          <w:p w14:paraId="29E4B8E3" w14:textId="2FDBF7EE"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Unstandardized Coefficients</w:t>
            </w:r>
          </w:p>
        </w:tc>
        <w:tc>
          <w:tcPr>
            <w:tcW w:w="1057" w:type="pct"/>
          </w:tcPr>
          <w:p w14:paraId="4695B16F" w14:textId="5EDCD84D"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Standardized Coefficients</w:t>
            </w:r>
          </w:p>
        </w:tc>
        <w:tc>
          <w:tcPr>
            <w:tcW w:w="600" w:type="pct"/>
            <w:vMerge w:val="restart"/>
          </w:tcPr>
          <w:p w14:paraId="1BE12831" w14:textId="77777777" w:rsidR="00F654AA" w:rsidRPr="00811D92" w:rsidRDefault="00F654AA" w:rsidP="00F654AA">
            <w:pPr>
              <w:contextualSpacing/>
              <w:jc w:val="left"/>
              <w:rPr>
                <w:rFonts w:ascii="Times New Roman" w:hAnsi="Times New Roman"/>
                <w:sz w:val="16"/>
                <w:szCs w:val="16"/>
                <w:lang w:val="id-ID"/>
              </w:rPr>
            </w:pPr>
          </w:p>
          <w:p w14:paraId="6AD1CB19" w14:textId="77777777" w:rsidR="00F654AA" w:rsidRPr="00811D92" w:rsidRDefault="00F654AA" w:rsidP="00F654AA">
            <w:pPr>
              <w:contextualSpacing/>
              <w:jc w:val="center"/>
              <w:rPr>
                <w:rFonts w:ascii="Times New Roman" w:hAnsi="Times New Roman"/>
                <w:sz w:val="16"/>
                <w:szCs w:val="16"/>
                <w:lang w:val="id-ID"/>
              </w:rPr>
            </w:pPr>
          </w:p>
          <w:p w14:paraId="21557CC2" w14:textId="77777777" w:rsidR="00F654AA" w:rsidRPr="00811D92" w:rsidRDefault="00F654AA" w:rsidP="00F654AA">
            <w:pPr>
              <w:contextualSpacing/>
              <w:jc w:val="center"/>
              <w:rPr>
                <w:rFonts w:ascii="Times New Roman" w:hAnsi="Times New Roman"/>
                <w:sz w:val="16"/>
                <w:szCs w:val="16"/>
                <w:lang w:val="id-ID"/>
              </w:rPr>
            </w:pPr>
          </w:p>
          <w:p w14:paraId="77C4C869" w14:textId="0D697260" w:rsidR="00F654AA" w:rsidRPr="00811D92" w:rsidRDefault="00F654AA" w:rsidP="00F654AA">
            <w:pPr>
              <w:contextualSpacing/>
              <w:jc w:val="center"/>
              <w:rPr>
                <w:rFonts w:ascii="Times New Roman" w:hAnsi="Times New Roman"/>
                <w:sz w:val="16"/>
                <w:szCs w:val="16"/>
                <w:lang w:val="id-ID"/>
              </w:rPr>
            </w:pPr>
            <w:r w:rsidRPr="00811D92">
              <w:rPr>
                <w:rFonts w:ascii="Times New Roman" w:hAnsi="Times New Roman"/>
                <w:sz w:val="16"/>
                <w:szCs w:val="16"/>
                <w:lang w:val="id-ID"/>
              </w:rPr>
              <w:t>t</w:t>
            </w:r>
          </w:p>
        </w:tc>
        <w:tc>
          <w:tcPr>
            <w:tcW w:w="523" w:type="pct"/>
            <w:vMerge w:val="restart"/>
          </w:tcPr>
          <w:p w14:paraId="65D2889A" w14:textId="77777777" w:rsidR="00F654AA" w:rsidRPr="00811D92" w:rsidRDefault="00F654AA" w:rsidP="00F654AA">
            <w:pPr>
              <w:contextualSpacing/>
              <w:jc w:val="left"/>
              <w:rPr>
                <w:rFonts w:ascii="Times New Roman" w:hAnsi="Times New Roman"/>
                <w:color w:val="000000"/>
                <w:sz w:val="16"/>
                <w:szCs w:val="16"/>
              </w:rPr>
            </w:pPr>
          </w:p>
          <w:p w14:paraId="79AAEAC8" w14:textId="77777777" w:rsidR="00F654AA" w:rsidRPr="00811D92" w:rsidRDefault="00F654AA" w:rsidP="00F654AA">
            <w:pPr>
              <w:contextualSpacing/>
              <w:jc w:val="center"/>
              <w:rPr>
                <w:rFonts w:ascii="Times New Roman" w:hAnsi="Times New Roman"/>
                <w:color w:val="000000"/>
                <w:sz w:val="16"/>
                <w:szCs w:val="16"/>
              </w:rPr>
            </w:pPr>
          </w:p>
          <w:p w14:paraId="27DDEC77" w14:textId="77777777" w:rsidR="00F654AA" w:rsidRPr="00811D92" w:rsidRDefault="00F654AA" w:rsidP="00F654AA">
            <w:pPr>
              <w:contextualSpacing/>
              <w:jc w:val="center"/>
              <w:rPr>
                <w:rFonts w:ascii="Times New Roman" w:hAnsi="Times New Roman"/>
                <w:color w:val="000000"/>
                <w:sz w:val="16"/>
                <w:szCs w:val="16"/>
              </w:rPr>
            </w:pPr>
          </w:p>
          <w:p w14:paraId="41705DF2" w14:textId="2CFE03A0" w:rsidR="00F654AA" w:rsidRPr="00811D92" w:rsidRDefault="00F654AA" w:rsidP="00F654AA">
            <w:pPr>
              <w:contextualSpacing/>
              <w:jc w:val="center"/>
              <w:rPr>
                <w:rFonts w:ascii="Times New Roman" w:hAnsi="Times New Roman"/>
                <w:sz w:val="16"/>
                <w:szCs w:val="16"/>
                <w:lang w:val="id-ID"/>
              </w:rPr>
            </w:pPr>
            <w:r w:rsidRPr="00811D92">
              <w:rPr>
                <w:rFonts w:ascii="Times New Roman" w:hAnsi="Times New Roman"/>
                <w:color w:val="000000"/>
                <w:sz w:val="16"/>
                <w:szCs w:val="16"/>
              </w:rPr>
              <w:t>Sig.</w:t>
            </w:r>
          </w:p>
        </w:tc>
      </w:tr>
      <w:tr w:rsidR="000B0306" w:rsidRPr="00811D92" w14:paraId="1E6C57BB" w14:textId="77777777" w:rsidTr="000B0306">
        <w:tc>
          <w:tcPr>
            <w:tcW w:w="1236" w:type="pct"/>
            <w:gridSpan w:val="2"/>
            <w:vMerge/>
          </w:tcPr>
          <w:p w14:paraId="7CE4064B" w14:textId="75C13EBF" w:rsidR="00F654AA" w:rsidRPr="00811D92" w:rsidRDefault="00F654AA" w:rsidP="00F654AA">
            <w:pPr>
              <w:contextualSpacing/>
              <w:jc w:val="left"/>
              <w:rPr>
                <w:rFonts w:ascii="Times New Roman" w:hAnsi="Times New Roman"/>
                <w:sz w:val="16"/>
                <w:szCs w:val="16"/>
                <w:lang w:val="id-ID"/>
              </w:rPr>
            </w:pPr>
          </w:p>
        </w:tc>
        <w:tc>
          <w:tcPr>
            <w:tcW w:w="830" w:type="pct"/>
            <w:vAlign w:val="bottom"/>
          </w:tcPr>
          <w:p w14:paraId="52D26BD2" w14:textId="011C8764" w:rsidR="00F654AA" w:rsidRPr="00811D92" w:rsidRDefault="00F654AA" w:rsidP="00F654AA">
            <w:pPr>
              <w:contextualSpacing/>
              <w:jc w:val="center"/>
              <w:rPr>
                <w:rFonts w:ascii="Times New Roman" w:hAnsi="Times New Roman"/>
                <w:sz w:val="16"/>
                <w:szCs w:val="16"/>
                <w:lang w:val="id-ID"/>
              </w:rPr>
            </w:pPr>
            <w:r w:rsidRPr="00811D92">
              <w:rPr>
                <w:rFonts w:ascii="Times New Roman" w:hAnsi="Times New Roman"/>
                <w:color w:val="000000"/>
                <w:sz w:val="16"/>
                <w:szCs w:val="16"/>
              </w:rPr>
              <w:t>B</w:t>
            </w:r>
          </w:p>
        </w:tc>
        <w:tc>
          <w:tcPr>
            <w:tcW w:w="754" w:type="pct"/>
            <w:vAlign w:val="bottom"/>
          </w:tcPr>
          <w:p w14:paraId="6D7F4BCD" w14:textId="3E82BABB"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Std. Error</w:t>
            </w:r>
          </w:p>
        </w:tc>
        <w:tc>
          <w:tcPr>
            <w:tcW w:w="1057" w:type="pct"/>
            <w:vAlign w:val="bottom"/>
          </w:tcPr>
          <w:p w14:paraId="478BE29F" w14:textId="384262A4"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Beta</w:t>
            </w:r>
          </w:p>
        </w:tc>
        <w:tc>
          <w:tcPr>
            <w:tcW w:w="600" w:type="pct"/>
            <w:vMerge/>
          </w:tcPr>
          <w:p w14:paraId="5C81BE02" w14:textId="77777777" w:rsidR="00F654AA" w:rsidRPr="00811D92" w:rsidRDefault="00F654AA" w:rsidP="00F654AA">
            <w:pPr>
              <w:contextualSpacing/>
              <w:jc w:val="left"/>
              <w:rPr>
                <w:rFonts w:ascii="Times New Roman" w:hAnsi="Times New Roman"/>
                <w:sz w:val="16"/>
                <w:szCs w:val="16"/>
                <w:lang w:val="id-ID"/>
              </w:rPr>
            </w:pPr>
          </w:p>
        </w:tc>
        <w:tc>
          <w:tcPr>
            <w:tcW w:w="523" w:type="pct"/>
            <w:vMerge/>
          </w:tcPr>
          <w:p w14:paraId="12C804C9" w14:textId="77777777" w:rsidR="00F654AA" w:rsidRPr="00811D92" w:rsidRDefault="00F654AA" w:rsidP="00F654AA">
            <w:pPr>
              <w:contextualSpacing/>
              <w:jc w:val="left"/>
              <w:rPr>
                <w:rFonts w:ascii="Times New Roman" w:hAnsi="Times New Roman"/>
                <w:sz w:val="16"/>
                <w:szCs w:val="16"/>
                <w:lang w:val="id-ID"/>
              </w:rPr>
            </w:pPr>
          </w:p>
        </w:tc>
      </w:tr>
      <w:tr w:rsidR="000B0306" w:rsidRPr="00811D92" w14:paraId="323BB7CC" w14:textId="77777777" w:rsidTr="000B0306">
        <w:tc>
          <w:tcPr>
            <w:tcW w:w="332" w:type="pct"/>
          </w:tcPr>
          <w:p w14:paraId="308F9FD1" w14:textId="3F0A002F"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sz w:val="16"/>
                <w:szCs w:val="16"/>
                <w:lang w:val="id-ID"/>
              </w:rPr>
              <w:t>1</w:t>
            </w:r>
          </w:p>
        </w:tc>
        <w:tc>
          <w:tcPr>
            <w:tcW w:w="904" w:type="pct"/>
          </w:tcPr>
          <w:p w14:paraId="3D6E6A10" w14:textId="5FC2EC69" w:rsidR="00F654AA" w:rsidRPr="00811D92" w:rsidRDefault="00F654AA" w:rsidP="000B0306">
            <w:pPr>
              <w:ind w:right="-53"/>
              <w:contextualSpacing/>
              <w:jc w:val="left"/>
              <w:rPr>
                <w:rFonts w:ascii="Times New Roman" w:hAnsi="Times New Roman"/>
                <w:sz w:val="16"/>
                <w:szCs w:val="16"/>
                <w:lang w:val="id-ID"/>
              </w:rPr>
            </w:pPr>
            <w:r w:rsidRPr="00811D92">
              <w:rPr>
                <w:rFonts w:ascii="Times New Roman" w:hAnsi="Times New Roman"/>
                <w:color w:val="000000"/>
                <w:sz w:val="16"/>
                <w:szCs w:val="16"/>
              </w:rPr>
              <w:t>(Constant)</w:t>
            </w:r>
          </w:p>
        </w:tc>
        <w:tc>
          <w:tcPr>
            <w:tcW w:w="830" w:type="pct"/>
            <w:vAlign w:val="center"/>
          </w:tcPr>
          <w:p w14:paraId="4FE7CC71" w14:textId="12F3FCEF"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634,732</w:t>
            </w:r>
          </w:p>
        </w:tc>
        <w:tc>
          <w:tcPr>
            <w:tcW w:w="754" w:type="pct"/>
            <w:vAlign w:val="center"/>
          </w:tcPr>
          <w:p w14:paraId="0A9AE2B8" w14:textId="353B05F6"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903,348</w:t>
            </w:r>
          </w:p>
        </w:tc>
        <w:tc>
          <w:tcPr>
            <w:tcW w:w="1057" w:type="pct"/>
            <w:vAlign w:val="center"/>
          </w:tcPr>
          <w:p w14:paraId="72F8743F" w14:textId="77777777" w:rsidR="00F654AA" w:rsidRPr="00811D92" w:rsidRDefault="00F654AA" w:rsidP="00F654AA">
            <w:pPr>
              <w:contextualSpacing/>
              <w:jc w:val="left"/>
              <w:rPr>
                <w:rFonts w:ascii="Times New Roman" w:hAnsi="Times New Roman"/>
                <w:sz w:val="16"/>
                <w:szCs w:val="16"/>
                <w:lang w:val="id-ID"/>
              </w:rPr>
            </w:pPr>
          </w:p>
        </w:tc>
        <w:tc>
          <w:tcPr>
            <w:tcW w:w="600" w:type="pct"/>
            <w:vAlign w:val="center"/>
          </w:tcPr>
          <w:p w14:paraId="4090990F" w14:textId="34607D7E"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,703</w:t>
            </w:r>
          </w:p>
        </w:tc>
        <w:tc>
          <w:tcPr>
            <w:tcW w:w="523" w:type="pct"/>
            <w:vAlign w:val="center"/>
          </w:tcPr>
          <w:p w14:paraId="49288323" w14:textId="74BB1D6B"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,487</w:t>
            </w:r>
          </w:p>
        </w:tc>
      </w:tr>
      <w:tr w:rsidR="000B0306" w:rsidRPr="00811D92" w14:paraId="213E693B" w14:textId="77777777" w:rsidTr="000B0306">
        <w:tc>
          <w:tcPr>
            <w:tcW w:w="332" w:type="pct"/>
          </w:tcPr>
          <w:p w14:paraId="1B4CF467" w14:textId="77777777" w:rsidR="00F654AA" w:rsidRPr="00811D92" w:rsidRDefault="00F654AA" w:rsidP="00F654AA">
            <w:pPr>
              <w:contextualSpacing/>
              <w:jc w:val="left"/>
              <w:rPr>
                <w:rFonts w:ascii="Times New Roman" w:hAnsi="Times New Roman"/>
                <w:sz w:val="16"/>
                <w:szCs w:val="16"/>
                <w:lang w:val="id-ID"/>
              </w:rPr>
            </w:pPr>
          </w:p>
        </w:tc>
        <w:tc>
          <w:tcPr>
            <w:tcW w:w="904" w:type="pct"/>
          </w:tcPr>
          <w:p w14:paraId="3806DE08" w14:textId="53F45641"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ROA</w:t>
            </w:r>
          </w:p>
        </w:tc>
        <w:tc>
          <w:tcPr>
            <w:tcW w:w="830" w:type="pct"/>
            <w:vAlign w:val="center"/>
          </w:tcPr>
          <w:p w14:paraId="7A80B956" w14:textId="4964791F"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1660,500</w:t>
            </w:r>
          </w:p>
        </w:tc>
        <w:tc>
          <w:tcPr>
            <w:tcW w:w="754" w:type="pct"/>
            <w:vAlign w:val="center"/>
          </w:tcPr>
          <w:p w14:paraId="37530FAE" w14:textId="2E877FCA"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494,036</w:t>
            </w:r>
          </w:p>
        </w:tc>
        <w:tc>
          <w:tcPr>
            <w:tcW w:w="1057" w:type="pct"/>
            <w:vAlign w:val="center"/>
          </w:tcPr>
          <w:p w14:paraId="088D4E5F" w14:textId="1F3E46F2"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,472</w:t>
            </w:r>
          </w:p>
        </w:tc>
        <w:tc>
          <w:tcPr>
            <w:tcW w:w="600" w:type="pct"/>
            <w:vAlign w:val="center"/>
          </w:tcPr>
          <w:p w14:paraId="300442EB" w14:textId="33346E3C"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3,361</w:t>
            </w:r>
          </w:p>
        </w:tc>
        <w:tc>
          <w:tcPr>
            <w:tcW w:w="523" w:type="pct"/>
            <w:vAlign w:val="center"/>
          </w:tcPr>
          <w:p w14:paraId="30575401" w14:textId="7D75AFBC"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,002</w:t>
            </w:r>
          </w:p>
        </w:tc>
      </w:tr>
      <w:tr w:rsidR="000B0306" w:rsidRPr="00811D92" w14:paraId="5DBEE4D0" w14:textId="77777777" w:rsidTr="000B0306">
        <w:tc>
          <w:tcPr>
            <w:tcW w:w="332" w:type="pct"/>
          </w:tcPr>
          <w:p w14:paraId="652E5F46" w14:textId="77777777" w:rsidR="00F654AA" w:rsidRPr="00811D92" w:rsidRDefault="00F654AA" w:rsidP="00F654AA">
            <w:pPr>
              <w:contextualSpacing/>
              <w:jc w:val="left"/>
              <w:rPr>
                <w:rFonts w:ascii="Times New Roman" w:hAnsi="Times New Roman"/>
                <w:sz w:val="16"/>
                <w:szCs w:val="16"/>
                <w:lang w:val="id-ID"/>
              </w:rPr>
            </w:pPr>
          </w:p>
        </w:tc>
        <w:tc>
          <w:tcPr>
            <w:tcW w:w="904" w:type="pct"/>
          </w:tcPr>
          <w:p w14:paraId="7257BF1E" w14:textId="5F9DDAD8"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ROE</w:t>
            </w:r>
          </w:p>
        </w:tc>
        <w:tc>
          <w:tcPr>
            <w:tcW w:w="830" w:type="pct"/>
            <w:vAlign w:val="center"/>
          </w:tcPr>
          <w:p w14:paraId="2B4BD511" w14:textId="26E3CB7D"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20,098</w:t>
            </w:r>
          </w:p>
        </w:tc>
        <w:tc>
          <w:tcPr>
            <w:tcW w:w="754" w:type="pct"/>
            <w:vAlign w:val="center"/>
          </w:tcPr>
          <w:p w14:paraId="1739A7B3" w14:textId="0C024E8F"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14,449</w:t>
            </w:r>
          </w:p>
        </w:tc>
        <w:tc>
          <w:tcPr>
            <w:tcW w:w="1057" w:type="pct"/>
            <w:vAlign w:val="center"/>
          </w:tcPr>
          <w:p w14:paraId="19E32C30" w14:textId="4F8C76C0"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,195</w:t>
            </w:r>
          </w:p>
        </w:tc>
        <w:tc>
          <w:tcPr>
            <w:tcW w:w="600" w:type="pct"/>
            <w:vAlign w:val="center"/>
          </w:tcPr>
          <w:p w14:paraId="3B22DCB8" w14:textId="5AB4836F"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1,391</w:t>
            </w:r>
          </w:p>
        </w:tc>
        <w:tc>
          <w:tcPr>
            <w:tcW w:w="523" w:type="pct"/>
            <w:vAlign w:val="center"/>
          </w:tcPr>
          <w:p w14:paraId="4572BCB9" w14:textId="5A231170" w:rsidR="00F654AA" w:rsidRPr="00811D92" w:rsidRDefault="00F654AA"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,173</w:t>
            </w:r>
          </w:p>
        </w:tc>
      </w:tr>
      <w:tr w:rsidR="000B0306" w:rsidRPr="00811D92" w14:paraId="4177391C" w14:textId="77777777" w:rsidTr="000B0306">
        <w:tc>
          <w:tcPr>
            <w:tcW w:w="5000" w:type="pct"/>
            <w:gridSpan w:val="7"/>
          </w:tcPr>
          <w:p w14:paraId="0468BF15" w14:textId="7C1542A3" w:rsidR="000B0306" w:rsidRPr="00811D92" w:rsidRDefault="000B0306" w:rsidP="00F654AA">
            <w:pPr>
              <w:contextualSpacing/>
              <w:jc w:val="left"/>
              <w:rPr>
                <w:rFonts w:ascii="Times New Roman" w:hAnsi="Times New Roman"/>
                <w:sz w:val="16"/>
                <w:szCs w:val="16"/>
                <w:lang w:val="id-ID"/>
              </w:rPr>
            </w:pPr>
            <w:r w:rsidRPr="00811D92">
              <w:rPr>
                <w:rFonts w:ascii="Times New Roman" w:hAnsi="Times New Roman"/>
                <w:color w:val="000000"/>
                <w:sz w:val="16"/>
                <w:szCs w:val="16"/>
              </w:rPr>
              <w:t>a. Dependent Variable: Harga Saham</w:t>
            </w:r>
          </w:p>
        </w:tc>
      </w:tr>
    </w:tbl>
    <w:p w14:paraId="20EE18CF" w14:textId="77777777" w:rsidR="00284FDD" w:rsidRDefault="00284FDD" w:rsidP="00284FDD">
      <w:pPr>
        <w:rPr>
          <w:szCs w:val="24"/>
          <w:lang w:val="id-ID"/>
        </w:rPr>
      </w:pPr>
      <w:r w:rsidRPr="00811D92">
        <w:rPr>
          <w:sz w:val="16"/>
          <w:szCs w:val="16"/>
        </w:rPr>
        <w:t xml:space="preserve">Sumber : </w:t>
      </w:r>
      <w:r w:rsidRPr="00811D92">
        <w:rPr>
          <w:sz w:val="16"/>
          <w:szCs w:val="16"/>
          <w:lang w:val="id-ID"/>
        </w:rPr>
        <w:t>(Hasil Olah Data SPSS v22</w:t>
      </w:r>
      <w:r w:rsidRPr="00811D92">
        <w:rPr>
          <w:sz w:val="16"/>
          <w:szCs w:val="16"/>
        </w:rPr>
        <w:t>, 2023</w:t>
      </w:r>
      <w:r w:rsidRPr="00811D92">
        <w:rPr>
          <w:sz w:val="16"/>
          <w:szCs w:val="16"/>
          <w:lang w:val="id-ID"/>
        </w:rPr>
        <w:t>)</w:t>
      </w:r>
    </w:p>
    <w:p w14:paraId="0CB852D1" w14:textId="77777777" w:rsidR="006F5A1D" w:rsidRDefault="006F5A1D" w:rsidP="00284FDD">
      <w:pPr>
        <w:ind w:firstLine="284"/>
        <w:rPr>
          <w:szCs w:val="24"/>
        </w:rPr>
      </w:pPr>
    </w:p>
    <w:p w14:paraId="693A7D09" w14:textId="4D7B42A3" w:rsidR="00284FDD" w:rsidRDefault="00284FDD" w:rsidP="006712C5">
      <w:pPr>
        <w:ind w:firstLine="426"/>
        <w:rPr>
          <w:szCs w:val="24"/>
          <w:lang w:val="id-ID"/>
        </w:rPr>
      </w:pPr>
      <w:r>
        <w:rPr>
          <w:szCs w:val="24"/>
        </w:rPr>
        <w:t>Berdasarkan data pada tabel 7</w:t>
      </w:r>
      <w:r w:rsidRPr="004D622D">
        <w:rPr>
          <w:szCs w:val="24"/>
        </w:rPr>
        <w:t xml:space="preserve"> diatas menunjukkan bahwa</w:t>
      </w:r>
      <w:r w:rsidRPr="004D622D">
        <w:rPr>
          <w:szCs w:val="24"/>
          <w:lang w:val="id-ID"/>
        </w:rPr>
        <w:t>:</w:t>
      </w:r>
    </w:p>
    <w:p w14:paraId="67205EF7" w14:textId="77777777" w:rsidR="00F32E90" w:rsidRPr="004D622D" w:rsidRDefault="00F32E90" w:rsidP="006712C5">
      <w:pPr>
        <w:ind w:firstLine="426"/>
        <w:rPr>
          <w:szCs w:val="24"/>
          <w:lang w:val="id-ID"/>
        </w:rPr>
      </w:pPr>
    </w:p>
    <w:p w14:paraId="03DBB92F" w14:textId="77777777" w:rsidR="00284FDD" w:rsidRDefault="00284FDD" w:rsidP="00284FDD">
      <w:pPr>
        <w:ind w:firstLine="349"/>
        <w:rPr>
          <w:szCs w:val="24"/>
          <w:lang w:val="id-ID"/>
        </w:rPr>
      </w:pPr>
      <w:r w:rsidRPr="004D622D">
        <w:rPr>
          <w:szCs w:val="24"/>
          <w:lang w:val="id-ID"/>
        </w:rPr>
        <w:t>t tabel = t(a/2;n-k-1) = t (0,025</w:t>
      </w:r>
      <w:r>
        <w:rPr>
          <w:szCs w:val="24"/>
          <w:lang w:val="id-ID"/>
        </w:rPr>
        <w:t xml:space="preserve"> </w:t>
      </w:r>
      <w:r w:rsidRPr="004D622D">
        <w:rPr>
          <w:szCs w:val="24"/>
          <w:lang w:val="id-ID"/>
        </w:rPr>
        <w:t>;37) = 2.026</w:t>
      </w:r>
    </w:p>
    <w:p w14:paraId="65A6A9A3" w14:textId="77777777" w:rsidR="00F32E90" w:rsidRPr="004D622D" w:rsidRDefault="00F32E90" w:rsidP="00284FDD">
      <w:pPr>
        <w:ind w:firstLine="349"/>
        <w:rPr>
          <w:szCs w:val="24"/>
          <w:lang w:val="id-ID"/>
        </w:rPr>
      </w:pPr>
    </w:p>
    <w:p w14:paraId="1F5BFDAB" w14:textId="77777777" w:rsidR="00284FDD" w:rsidRPr="004D622D" w:rsidRDefault="00284FDD" w:rsidP="00284FDD">
      <w:pPr>
        <w:numPr>
          <w:ilvl w:val="0"/>
          <w:numId w:val="5"/>
        </w:numPr>
        <w:ind w:left="284" w:hanging="284"/>
        <w:contextualSpacing/>
        <w:rPr>
          <w:lang w:val="id-ID"/>
        </w:rPr>
      </w:pPr>
      <w:r w:rsidRPr="004D622D">
        <w:rPr>
          <w:lang w:val="id-ID"/>
        </w:rPr>
        <w:t>Pengujian ROA (X1) terhadap Harga Saham (Y)</w:t>
      </w:r>
    </w:p>
    <w:p w14:paraId="271F4870" w14:textId="77777777" w:rsidR="00284FDD" w:rsidRPr="004D622D" w:rsidRDefault="00284FDD" w:rsidP="00284FDD">
      <w:pPr>
        <w:ind w:left="284"/>
        <w:contextualSpacing/>
        <w:rPr>
          <w:szCs w:val="24"/>
        </w:rPr>
      </w:pPr>
      <w:r w:rsidRPr="004D622D">
        <w:t>H</w:t>
      </w:r>
      <w:r w:rsidRPr="004D622D">
        <w:rPr>
          <w:lang w:val="id-ID"/>
        </w:rPr>
        <w:t>ipotesis pertama d</w:t>
      </w:r>
      <w:r w:rsidRPr="004D622D">
        <w:t xml:space="preserve">alam penelitian ini </w:t>
      </w:r>
      <w:r w:rsidRPr="004D622D">
        <w:rPr>
          <w:szCs w:val="24"/>
          <w:lang w:val="id-ID"/>
        </w:rPr>
        <w:t>ROA</w:t>
      </w:r>
      <w:r w:rsidRPr="004D622D">
        <w:rPr>
          <w:szCs w:val="24"/>
        </w:rPr>
        <w:t xml:space="preserve"> (X1) diperoleh t-hitung </w:t>
      </w:r>
      <w:r w:rsidRPr="004D622D">
        <w:rPr>
          <w:szCs w:val="24"/>
          <w:lang w:val="id-ID"/>
        </w:rPr>
        <w:t>&gt;</w:t>
      </w:r>
      <w:r w:rsidRPr="004D622D">
        <w:rPr>
          <w:szCs w:val="24"/>
        </w:rPr>
        <w:t xml:space="preserve"> t-tabel (</w:t>
      </w:r>
      <w:r w:rsidRPr="004D622D">
        <w:rPr>
          <w:szCs w:val="24"/>
          <w:lang w:val="id-ID"/>
        </w:rPr>
        <w:t>3,361</w:t>
      </w:r>
      <w:r w:rsidRPr="004D622D">
        <w:rPr>
          <w:szCs w:val="24"/>
        </w:rPr>
        <w:t xml:space="preserve"> </w:t>
      </w:r>
      <w:r w:rsidRPr="004D622D">
        <w:rPr>
          <w:szCs w:val="24"/>
          <w:lang w:val="id-ID"/>
        </w:rPr>
        <w:t xml:space="preserve">&gt; </w:t>
      </w:r>
      <w:r>
        <w:rPr>
          <w:szCs w:val="24"/>
        </w:rPr>
        <w:t>2,02</w:t>
      </w:r>
      <w:r w:rsidRPr="004D622D">
        <w:rPr>
          <w:szCs w:val="24"/>
        </w:rPr>
        <w:t xml:space="preserve">6), sedangkan untuk signifikansi lebih kecil dari 0,05 (0,02 </w:t>
      </w:r>
      <w:r w:rsidRPr="004D622D">
        <w:rPr>
          <w:szCs w:val="24"/>
          <w:lang w:val="id-ID"/>
        </w:rPr>
        <w:t>&lt;</w:t>
      </w:r>
      <w:r w:rsidRPr="004D622D">
        <w:rPr>
          <w:szCs w:val="24"/>
        </w:rPr>
        <w:t xml:space="preserve"> 0,05), maka dapat disimpulkan bahwa variabel bebas yaitu X1 (</w:t>
      </w:r>
      <w:r w:rsidRPr="004D622D">
        <w:rPr>
          <w:szCs w:val="24"/>
          <w:lang w:val="id-ID"/>
        </w:rPr>
        <w:t>ROA</w:t>
      </w:r>
      <w:r w:rsidRPr="004D622D">
        <w:rPr>
          <w:szCs w:val="24"/>
        </w:rPr>
        <w:t>) berpengaruh positif terhadap variabel terikat Y (H</w:t>
      </w:r>
      <w:r w:rsidRPr="004D622D">
        <w:rPr>
          <w:szCs w:val="24"/>
          <w:lang w:val="id-ID"/>
        </w:rPr>
        <w:t>arga Saham</w:t>
      </w:r>
      <w:r w:rsidRPr="004D622D">
        <w:rPr>
          <w:szCs w:val="24"/>
        </w:rPr>
        <w:t xml:space="preserve">). Sehingga H01 ditolak dan Ha1 diterima. Hal ini berarti </w:t>
      </w:r>
      <w:r w:rsidRPr="004D622D">
        <w:rPr>
          <w:szCs w:val="24"/>
          <w:lang w:val="id-ID"/>
        </w:rPr>
        <w:t>ROA</w:t>
      </w:r>
      <w:r w:rsidRPr="004D622D">
        <w:rPr>
          <w:szCs w:val="24"/>
        </w:rPr>
        <w:t xml:space="preserve"> berpengaruh signifikan terhadap H</w:t>
      </w:r>
      <w:r w:rsidRPr="004D622D">
        <w:rPr>
          <w:szCs w:val="24"/>
          <w:lang w:val="id-ID"/>
        </w:rPr>
        <w:t>arga Saham</w:t>
      </w:r>
      <w:r w:rsidRPr="004D622D">
        <w:rPr>
          <w:szCs w:val="24"/>
        </w:rPr>
        <w:t>.</w:t>
      </w:r>
    </w:p>
    <w:p w14:paraId="762AB6D1" w14:textId="77777777" w:rsidR="00284FDD" w:rsidRPr="004D622D" w:rsidRDefault="00284FDD" w:rsidP="00284FDD">
      <w:pPr>
        <w:numPr>
          <w:ilvl w:val="0"/>
          <w:numId w:val="5"/>
        </w:numPr>
        <w:ind w:left="284" w:hanging="284"/>
        <w:contextualSpacing/>
        <w:rPr>
          <w:lang w:val="id-ID"/>
        </w:rPr>
      </w:pPr>
      <w:r w:rsidRPr="004D622D">
        <w:rPr>
          <w:lang w:val="id-ID"/>
        </w:rPr>
        <w:t>Pengujian ROE (X2) terhadap Harga Saham (Y)</w:t>
      </w:r>
    </w:p>
    <w:p w14:paraId="5FB470BA" w14:textId="77777777" w:rsidR="00284FDD" w:rsidRDefault="00284FDD" w:rsidP="00284FDD">
      <w:pPr>
        <w:ind w:left="284"/>
        <w:contextualSpacing/>
      </w:pPr>
      <w:r w:rsidRPr="004D622D">
        <w:t>H</w:t>
      </w:r>
      <w:r w:rsidRPr="004D622D">
        <w:rPr>
          <w:lang w:val="id-ID"/>
        </w:rPr>
        <w:t>ipotesis kedua d</w:t>
      </w:r>
      <w:r w:rsidRPr="004D622D">
        <w:t xml:space="preserve">alam penelitian ini </w:t>
      </w:r>
      <w:r w:rsidRPr="004D622D">
        <w:rPr>
          <w:szCs w:val="24"/>
          <w:lang w:val="id-ID"/>
        </w:rPr>
        <w:t>ROE</w:t>
      </w:r>
      <w:r w:rsidRPr="004D622D">
        <w:rPr>
          <w:szCs w:val="24"/>
        </w:rPr>
        <w:t xml:space="preserve"> (X2) diperoleh t-hitung &lt; t-tabel (</w:t>
      </w:r>
      <w:r w:rsidRPr="004D622D">
        <w:rPr>
          <w:szCs w:val="24"/>
          <w:lang w:val="id-ID"/>
        </w:rPr>
        <w:t>1,391</w:t>
      </w:r>
      <w:r w:rsidRPr="004D622D">
        <w:rPr>
          <w:szCs w:val="24"/>
        </w:rPr>
        <w:t xml:space="preserve"> &lt; 2,026), </w:t>
      </w:r>
      <w:r w:rsidRPr="004D622D">
        <w:rPr>
          <w:lang w:val="id-ID"/>
        </w:rPr>
        <w:t>d</w:t>
      </w:r>
      <w:r w:rsidRPr="004D622D">
        <w:t>alam penelitian ini adalah RO</w:t>
      </w:r>
      <w:r w:rsidRPr="004D622D">
        <w:rPr>
          <w:lang w:val="id-ID"/>
        </w:rPr>
        <w:t>E</w:t>
      </w:r>
      <w:r w:rsidRPr="004D622D">
        <w:t xml:space="preserve"> (X2)</w:t>
      </w:r>
      <w:r w:rsidRPr="004D622D">
        <w:rPr>
          <w:lang w:val="id-ID"/>
        </w:rPr>
        <w:t xml:space="preserve"> tidak</w:t>
      </w:r>
      <w:r w:rsidRPr="004D622D">
        <w:t xml:space="preserve"> berpengaruh terhadap harga saham (Y). Berdasarkan tabel di atas diketahui nilai Signifikansi (Sig) variabel ROE adalah sebesar 0,173. Karena nilai Sig. 0,173 </w:t>
      </w:r>
      <w:r w:rsidRPr="004D622D">
        <w:rPr>
          <w:lang w:val="id-ID"/>
        </w:rPr>
        <w:t xml:space="preserve">&gt; </w:t>
      </w:r>
      <w:r w:rsidRPr="004D622D">
        <w:t>probabilitas 0,05 maka dapat disimpulkan bahwa H2 dit</w:t>
      </w:r>
      <w:r w:rsidRPr="004D622D">
        <w:rPr>
          <w:lang w:val="id-ID"/>
        </w:rPr>
        <w:t>erima</w:t>
      </w:r>
      <w:r w:rsidRPr="004D622D">
        <w:t xml:space="preserve"> dan Ho ditolak. Artinya</w:t>
      </w:r>
      <w:r w:rsidRPr="004D622D">
        <w:rPr>
          <w:lang w:val="id-ID"/>
        </w:rPr>
        <w:t xml:space="preserve"> tidak</w:t>
      </w:r>
      <w:r w:rsidRPr="004D622D">
        <w:t xml:space="preserve"> ada pengaruh signifikan antara RO</w:t>
      </w:r>
      <w:r w:rsidRPr="004D622D">
        <w:rPr>
          <w:lang w:val="id-ID"/>
        </w:rPr>
        <w:t>E</w:t>
      </w:r>
      <w:r w:rsidRPr="004D622D">
        <w:t xml:space="preserve"> (X1) terhadap Harga Saham (Y).</w:t>
      </w:r>
    </w:p>
    <w:p w14:paraId="2F2805F9" w14:textId="77777777" w:rsidR="00E13E67" w:rsidRDefault="00E13E67" w:rsidP="00284FDD">
      <w:pPr>
        <w:ind w:left="284"/>
        <w:contextualSpacing/>
      </w:pPr>
    </w:p>
    <w:p w14:paraId="42FCA26D" w14:textId="50BD8768" w:rsidR="000B0306" w:rsidRDefault="00E41AB3" w:rsidP="000B0306">
      <w:pPr>
        <w:contextualSpacing/>
        <w:rPr>
          <w:lang w:val="id-ID"/>
        </w:rPr>
      </w:pPr>
      <w:r>
        <w:t>7. U</w:t>
      </w:r>
      <w:r w:rsidR="000B0306" w:rsidRPr="004D622D">
        <w:rPr>
          <w:lang w:val="id-ID"/>
        </w:rPr>
        <w:t>ji Simultan (F test)</w:t>
      </w:r>
    </w:p>
    <w:p w14:paraId="70F01772" w14:textId="77777777" w:rsidR="000B0306" w:rsidRDefault="000B0306" w:rsidP="00497DE8">
      <w:pPr>
        <w:contextualSpacing/>
        <w:jc w:val="center"/>
        <w:rPr>
          <w:lang w:val="id-ID"/>
        </w:rPr>
      </w:pPr>
      <w:r>
        <w:rPr>
          <w:lang w:val="id-ID"/>
        </w:rPr>
        <w:t>Tabel 8. Hasil uji simultan f</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7"/>
        <w:gridCol w:w="763"/>
        <w:gridCol w:w="985"/>
        <w:gridCol w:w="339"/>
        <w:gridCol w:w="923"/>
        <w:gridCol w:w="493"/>
        <w:gridCol w:w="472"/>
      </w:tblGrid>
      <w:tr w:rsidR="002D666F" w:rsidRPr="00497DE8" w14:paraId="1258169B" w14:textId="77777777" w:rsidTr="00D50067">
        <w:tc>
          <w:tcPr>
            <w:tcW w:w="5000" w:type="pct"/>
            <w:gridSpan w:val="7"/>
          </w:tcPr>
          <w:p w14:paraId="41A5D7E4" w14:textId="0AEAE168" w:rsidR="002D666F" w:rsidRPr="004C05DD" w:rsidRDefault="002D666F" w:rsidP="00D50067">
            <w:pPr>
              <w:contextualSpacing/>
              <w:jc w:val="center"/>
              <w:rPr>
                <w:rFonts w:ascii="Times New Roman" w:hAnsi="Times New Roman"/>
                <w:sz w:val="18"/>
                <w:szCs w:val="18"/>
              </w:rPr>
            </w:pPr>
            <w:r w:rsidRPr="004C05DD">
              <w:rPr>
                <w:rFonts w:ascii="Times New Roman" w:hAnsi="Times New Roman"/>
                <w:color w:val="000000"/>
                <w:sz w:val="18"/>
                <w:szCs w:val="18"/>
              </w:rPr>
              <w:t>ANOVA</w:t>
            </w:r>
            <w:r w:rsidRPr="004C05DD">
              <w:rPr>
                <w:rFonts w:ascii="Times New Roman" w:hAnsi="Times New Roman"/>
                <w:color w:val="000000"/>
                <w:sz w:val="18"/>
                <w:szCs w:val="18"/>
                <w:vertAlign w:val="superscript"/>
              </w:rPr>
              <w:t>a</w:t>
            </w:r>
          </w:p>
        </w:tc>
      </w:tr>
      <w:tr w:rsidR="00D50067" w:rsidRPr="00497DE8" w14:paraId="05B9596F" w14:textId="77777777" w:rsidTr="00D50067">
        <w:tc>
          <w:tcPr>
            <w:tcW w:w="1224" w:type="pct"/>
            <w:gridSpan w:val="2"/>
          </w:tcPr>
          <w:p w14:paraId="24B39C5E" w14:textId="3FA8702F" w:rsidR="00D50067" w:rsidRPr="00497DE8" w:rsidRDefault="00D50067" w:rsidP="00D50067">
            <w:pPr>
              <w:contextualSpacing/>
              <w:jc w:val="center"/>
              <w:rPr>
                <w:rFonts w:ascii="Times New Roman" w:hAnsi="Times New Roman"/>
                <w:sz w:val="18"/>
                <w:szCs w:val="18"/>
              </w:rPr>
            </w:pPr>
            <w:r w:rsidRPr="00497DE8">
              <w:rPr>
                <w:rFonts w:ascii="Times New Roman" w:hAnsi="Times New Roman"/>
                <w:color w:val="000000"/>
                <w:sz w:val="18"/>
                <w:szCs w:val="18"/>
              </w:rPr>
              <w:t>Model</w:t>
            </w:r>
          </w:p>
        </w:tc>
        <w:tc>
          <w:tcPr>
            <w:tcW w:w="1158" w:type="pct"/>
            <w:vAlign w:val="bottom"/>
          </w:tcPr>
          <w:p w14:paraId="19828968" w14:textId="737C948E"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Sum of Squares</w:t>
            </w:r>
          </w:p>
        </w:tc>
        <w:tc>
          <w:tcPr>
            <w:tcW w:w="399" w:type="pct"/>
            <w:vAlign w:val="bottom"/>
          </w:tcPr>
          <w:p w14:paraId="3FDE2AA8" w14:textId="0D5BF889" w:rsidR="00D50067" w:rsidRPr="004C05DD" w:rsidRDefault="00D50067" w:rsidP="00D50067">
            <w:pPr>
              <w:contextualSpacing/>
              <w:rPr>
                <w:rFonts w:ascii="Times New Roman" w:hAnsi="Times New Roman"/>
                <w:sz w:val="18"/>
                <w:szCs w:val="18"/>
              </w:rPr>
            </w:pPr>
            <w:r w:rsidRPr="004C05DD">
              <w:rPr>
                <w:rFonts w:ascii="Times New Roman" w:hAnsi="Times New Roman"/>
                <w:color w:val="000000"/>
                <w:sz w:val="18"/>
                <w:szCs w:val="18"/>
              </w:rPr>
              <w:t>df</w:t>
            </w:r>
          </w:p>
        </w:tc>
        <w:tc>
          <w:tcPr>
            <w:tcW w:w="1087" w:type="pct"/>
            <w:vAlign w:val="bottom"/>
          </w:tcPr>
          <w:p w14:paraId="49173AA2" w14:textId="1C5A5772"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Mean Square</w:t>
            </w:r>
          </w:p>
        </w:tc>
        <w:tc>
          <w:tcPr>
            <w:tcW w:w="580" w:type="pct"/>
            <w:vAlign w:val="bottom"/>
          </w:tcPr>
          <w:p w14:paraId="1B313D42" w14:textId="50D96251"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F</w:t>
            </w:r>
          </w:p>
        </w:tc>
        <w:tc>
          <w:tcPr>
            <w:tcW w:w="553" w:type="pct"/>
            <w:vAlign w:val="bottom"/>
          </w:tcPr>
          <w:p w14:paraId="4B07CFBD" w14:textId="3E9D9637"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Sig.</w:t>
            </w:r>
          </w:p>
        </w:tc>
      </w:tr>
      <w:tr w:rsidR="00D50067" w:rsidRPr="00497DE8" w14:paraId="632E2898" w14:textId="77777777" w:rsidTr="00D50067">
        <w:tc>
          <w:tcPr>
            <w:tcW w:w="326" w:type="pct"/>
          </w:tcPr>
          <w:p w14:paraId="32A8ADA6" w14:textId="7A3329F3" w:rsidR="00D50067" w:rsidRPr="00497DE8" w:rsidRDefault="00D50067" w:rsidP="00D50067">
            <w:pPr>
              <w:contextualSpacing/>
              <w:rPr>
                <w:rFonts w:ascii="Times New Roman" w:hAnsi="Times New Roman"/>
                <w:sz w:val="18"/>
                <w:szCs w:val="18"/>
              </w:rPr>
            </w:pPr>
            <w:r w:rsidRPr="00497DE8">
              <w:rPr>
                <w:rFonts w:ascii="Times New Roman" w:hAnsi="Times New Roman"/>
                <w:sz w:val="18"/>
                <w:szCs w:val="18"/>
              </w:rPr>
              <w:t>1</w:t>
            </w:r>
          </w:p>
        </w:tc>
        <w:tc>
          <w:tcPr>
            <w:tcW w:w="898" w:type="pct"/>
          </w:tcPr>
          <w:p w14:paraId="0C1A873C" w14:textId="433E68CB" w:rsidR="00D50067" w:rsidRPr="00497DE8" w:rsidRDefault="00D50067" w:rsidP="00D50067">
            <w:pPr>
              <w:ind w:right="-61"/>
              <w:contextualSpacing/>
              <w:rPr>
                <w:rFonts w:ascii="Times New Roman" w:hAnsi="Times New Roman"/>
                <w:sz w:val="18"/>
                <w:szCs w:val="18"/>
              </w:rPr>
            </w:pPr>
            <w:r w:rsidRPr="00497DE8">
              <w:rPr>
                <w:rFonts w:ascii="Times New Roman" w:hAnsi="Times New Roman"/>
                <w:color w:val="000000"/>
                <w:sz w:val="18"/>
                <w:szCs w:val="18"/>
              </w:rPr>
              <w:t>Regression</w:t>
            </w:r>
          </w:p>
        </w:tc>
        <w:tc>
          <w:tcPr>
            <w:tcW w:w="1158" w:type="pct"/>
            <w:vAlign w:val="center"/>
          </w:tcPr>
          <w:p w14:paraId="70C2B8AC" w14:textId="6410DBDE"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85652877,181</w:t>
            </w:r>
          </w:p>
        </w:tc>
        <w:tc>
          <w:tcPr>
            <w:tcW w:w="399" w:type="pct"/>
            <w:vAlign w:val="center"/>
          </w:tcPr>
          <w:p w14:paraId="7933A14E" w14:textId="75CFB32E"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2</w:t>
            </w:r>
          </w:p>
        </w:tc>
        <w:tc>
          <w:tcPr>
            <w:tcW w:w="1087" w:type="pct"/>
            <w:vAlign w:val="center"/>
          </w:tcPr>
          <w:p w14:paraId="4CC0333B" w14:textId="3C19DC41"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42826438,590</w:t>
            </w:r>
          </w:p>
        </w:tc>
        <w:tc>
          <w:tcPr>
            <w:tcW w:w="580" w:type="pct"/>
            <w:vAlign w:val="center"/>
          </w:tcPr>
          <w:p w14:paraId="047A4F0E" w14:textId="47237CDC"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7,580</w:t>
            </w:r>
          </w:p>
        </w:tc>
        <w:tc>
          <w:tcPr>
            <w:tcW w:w="553" w:type="pct"/>
            <w:vAlign w:val="center"/>
          </w:tcPr>
          <w:p w14:paraId="63377FC9" w14:textId="3779D632"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,002</w:t>
            </w:r>
            <w:r w:rsidRPr="00497DE8">
              <w:rPr>
                <w:rFonts w:ascii="Times New Roman" w:hAnsi="Times New Roman"/>
                <w:color w:val="000000"/>
                <w:sz w:val="18"/>
                <w:szCs w:val="18"/>
                <w:vertAlign w:val="superscript"/>
              </w:rPr>
              <w:t>b</w:t>
            </w:r>
          </w:p>
        </w:tc>
      </w:tr>
      <w:tr w:rsidR="00D50067" w:rsidRPr="00497DE8" w14:paraId="7F1EC651" w14:textId="77777777" w:rsidTr="00D50067">
        <w:tc>
          <w:tcPr>
            <w:tcW w:w="326" w:type="pct"/>
          </w:tcPr>
          <w:p w14:paraId="7CD8429B" w14:textId="77777777" w:rsidR="00D50067" w:rsidRPr="00497DE8" w:rsidRDefault="00D50067" w:rsidP="00D50067">
            <w:pPr>
              <w:contextualSpacing/>
              <w:rPr>
                <w:rFonts w:ascii="Times New Roman" w:hAnsi="Times New Roman"/>
                <w:sz w:val="18"/>
                <w:szCs w:val="18"/>
              </w:rPr>
            </w:pPr>
          </w:p>
        </w:tc>
        <w:tc>
          <w:tcPr>
            <w:tcW w:w="898" w:type="pct"/>
          </w:tcPr>
          <w:p w14:paraId="0F802A06" w14:textId="4C471F31"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Residual</w:t>
            </w:r>
          </w:p>
        </w:tc>
        <w:tc>
          <w:tcPr>
            <w:tcW w:w="1158" w:type="pct"/>
            <w:vAlign w:val="center"/>
          </w:tcPr>
          <w:p w14:paraId="42D8E971" w14:textId="3E41A831"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209047545,919</w:t>
            </w:r>
          </w:p>
        </w:tc>
        <w:tc>
          <w:tcPr>
            <w:tcW w:w="399" w:type="pct"/>
            <w:vAlign w:val="center"/>
          </w:tcPr>
          <w:p w14:paraId="168075E9" w14:textId="77DE2C39"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37</w:t>
            </w:r>
          </w:p>
        </w:tc>
        <w:tc>
          <w:tcPr>
            <w:tcW w:w="1087" w:type="pct"/>
            <w:vAlign w:val="center"/>
          </w:tcPr>
          <w:p w14:paraId="593827A9" w14:textId="21539167"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5649933,673</w:t>
            </w:r>
          </w:p>
        </w:tc>
        <w:tc>
          <w:tcPr>
            <w:tcW w:w="580" w:type="pct"/>
          </w:tcPr>
          <w:p w14:paraId="5A566B30" w14:textId="77777777" w:rsidR="00D50067" w:rsidRPr="00497DE8" w:rsidRDefault="00D50067" w:rsidP="00D50067">
            <w:pPr>
              <w:contextualSpacing/>
              <w:rPr>
                <w:rFonts w:ascii="Times New Roman" w:hAnsi="Times New Roman"/>
                <w:sz w:val="18"/>
                <w:szCs w:val="18"/>
              </w:rPr>
            </w:pPr>
          </w:p>
        </w:tc>
        <w:tc>
          <w:tcPr>
            <w:tcW w:w="553" w:type="pct"/>
          </w:tcPr>
          <w:p w14:paraId="405B06C0" w14:textId="77777777" w:rsidR="00D50067" w:rsidRPr="00497DE8" w:rsidRDefault="00D50067" w:rsidP="00D50067">
            <w:pPr>
              <w:contextualSpacing/>
              <w:rPr>
                <w:rFonts w:ascii="Times New Roman" w:hAnsi="Times New Roman"/>
                <w:sz w:val="18"/>
                <w:szCs w:val="18"/>
              </w:rPr>
            </w:pPr>
          </w:p>
        </w:tc>
      </w:tr>
      <w:tr w:rsidR="00D50067" w:rsidRPr="00497DE8" w14:paraId="60422627" w14:textId="77777777" w:rsidTr="00D50067">
        <w:tc>
          <w:tcPr>
            <w:tcW w:w="326" w:type="pct"/>
          </w:tcPr>
          <w:p w14:paraId="5AAB1812" w14:textId="77777777" w:rsidR="00D50067" w:rsidRPr="00497DE8" w:rsidRDefault="00D50067" w:rsidP="00D50067">
            <w:pPr>
              <w:contextualSpacing/>
              <w:rPr>
                <w:rFonts w:ascii="Times New Roman" w:hAnsi="Times New Roman"/>
                <w:sz w:val="18"/>
                <w:szCs w:val="18"/>
              </w:rPr>
            </w:pPr>
          </w:p>
        </w:tc>
        <w:tc>
          <w:tcPr>
            <w:tcW w:w="898" w:type="pct"/>
          </w:tcPr>
          <w:p w14:paraId="70C7541C" w14:textId="5F8486C5"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Total</w:t>
            </w:r>
          </w:p>
        </w:tc>
        <w:tc>
          <w:tcPr>
            <w:tcW w:w="1158" w:type="pct"/>
            <w:vAlign w:val="center"/>
          </w:tcPr>
          <w:p w14:paraId="29F2B3C1" w14:textId="5F82DF73"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294700423,100</w:t>
            </w:r>
          </w:p>
        </w:tc>
        <w:tc>
          <w:tcPr>
            <w:tcW w:w="399" w:type="pct"/>
            <w:vAlign w:val="center"/>
          </w:tcPr>
          <w:p w14:paraId="5EE6B712" w14:textId="3AC321FC"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39</w:t>
            </w:r>
          </w:p>
        </w:tc>
        <w:tc>
          <w:tcPr>
            <w:tcW w:w="1087" w:type="pct"/>
          </w:tcPr>
          <w:p w14:paraId="540A2413" w14:textId="77777777" w:rsidR="00D50067" w:rsidRPr="00497DE8" w:rsidRDefault="00D50067" w:rsidP="00D50067">
            <w:pPr>
              <w:contextualSpacing/>
              <w:rPr>
                <w:rFonts w:ascii="Times New Roman" w:hAnsi="Times New Roman"/>
                <w:sz w:val="18"/>
                <w:szCs w:val="18"/>
              </w:rPr>
            </w:pPr>
          </w:p>
        </w:tc>
        <w:tc>
          <w:tcPr>
            <w:tcW w:w="580" w:type="pct"/>
          </w:tcPr>
          <w:p w14:paraId="2416D461" w14:textId="77777777" w:rsidR="00D50067" w:rsidRPr="00497DE8" w:rsidRDefault="00D50067" w:rsidP="00D50067">
            <w:pPr>
              <w:contextualSpacing/>
              <w:rPr>
                <w:rFonts w:ascii="Times New Roman" w:hAnsi="Times New Roman"/>
                <w:sz w:val="18"/>
                <w:szCs w:val="18"/>
              </w:rPr>
            </w:pPr>
          </w:p>
        </w:tc>
        <w:tc>
          <w:tcPr>
            <w:tcW w:w="553" w:type="pct"/>
          </w:tcPr>
          <w:p w14:paraId="1ADE6129" w14:textId="77777777" w:rsidR="00D50067" w:rsidRPr="00497DE8" w:rsidRDefault="00D50067" w:rsidP="00D50067">
            <w:pPr>
              <w:contextualSpacing/>
              <w:rPr>
                <w:rFonts w:ascii="Times New Roman" w:hAnsi="Times New Roman"/>
                <w:sz w:val="18"/>
                <w:szCs w:val="18"/>
              </w:rPr>
            </w:pPr>
          </w:p>
        </w:tc>
      </w:tr>
      <w:tr w:rsidR="00D50067" w:rsidRPr="00497DE8" w14:paraId="79F27B58" w14:textId="77777777" w:rsidTr="00D50067">
        <w:tc>
          <w:tcPr>
            <w:tcW w:w="5000" w:type="pct"/>
            <w:gridSpan w:val="7"/>
          </w:tcPr>
          <w:p w14:paraId="382B8DFA" w14:textId="6C187D82" w:rsidR="00D50067" w:rsidRPr="00497DE8" w:rsidRDefault="00D50067" w:rsidP="00D50067">
            <w:pPr>
              <w:contextualSpacing/>
              <w:rPr>
                <w:rFonts w:ascii="Times New Roman" w:hAnsi="Times New Roman"/>
                <w:sz w:val="18"/>
                <w:szCs w:val="18"/>
              </w:rPr>
            </w:pPr>
            <w:r w:rsidRPr="00497DE8">
              <w:rPr>
                <w:rFonts w:ascii="Times New Roman" w:hAnsi="Times New Roman"/>
                <w:color w:val="000000"/>
                <w:sz w:val="18"/>
                <w:szCs w:val="18"/>
              </w:rPr>
              <w:t>a. Dependent Variable: Harga Saham</w:t>
            </w:r>
          </w:p>
        </w:tc>
      </w:tr>
      <w:tr w:rsidR="00D50067" w:rsidRPr="00497DE8" w14:paraId="2C3F365F" w14:textId="77777777" w:rsidTr="00D50067">
        <w:tc>
          <w:tcPr>
            <w:tcW w:w="5000" w:type="pct"/>
            <w:gridSpan w:val="7"/>
          </w:tcPr>
          <w:p w14:paraId="413513A3" w14:textId="0293CE2E" w:rsidR="00D50067" w:rsidRPr="00497DE8" w:rsidRDefault="00D50067" w:rsidP="00D50067">
            <w:pPr>
              <w:contextualSpacing/>
              <w:rPr>
                <w:sz w:val="18"/>
                <w:szCs w:val="18"/>
              </w:rPr>
            </w:pPr>
            <w:r w:rsidRPr="00497DE8">
              <w:rPr>
                <w:rFonts w:ascii="Times New Roman" w:hAnsi="Times New Roman"/>
                <w:color w:val="000000"/>
                <w:sz w:val="18"/>
                <w:szCs w:val="18"/>
              </w:rPr>
              <w:t>b. Predictors: (Constant), ROE, ROA</w:t>
            </w:r>
          </w:p>
        </w:tc>
      </w:tr>
    </w:tbl>
    <w:p w14:paraId="722C7023" w14:textId="77777777" w:rsidR="00D50067" w:rsidRDefault="00D50067" w:rsidP="00D50067">
      <w:pPr>
        <w:rPr>
          <w:szCs w:val="24"/>
          <w:lang w:val="id-ID"/>
        </w:rPr>
      </w:pPr>
      <w:r w:rsidRPr="004D622D">
        <w:rPr>
          <w:szCs w:val="24"/>
        </w:rPr>
        <w:t xml:space="preserve">Sumber : </w:t>
      </w:r>
      <w:r>
        <w:rPr>
          <w:szCs w:val="24"/>
          <w:lang w:val="id-ID"/>
        </w:rPr>
        <w:t>(</w:t>
      </w:r>
      <w:r w:rsidRPr="004D622D">
        <w:rPr>
          <w:szCs w:val="24"/>
          <w:lang w:val="id-ID"/>
        </w:rPr>
        <w:t>Hasil Olah Data SPSS v22</w:t>
      </w:r>
      <w:r>
        <w:rPr>
          <w:szCs w:val="24"/>
        </w:rPr>
        <w:t>, 2023</w:t>
      </w:r>
      <w:r>
        <w:rPr>
          <w:szCs w:val="24"/>
          <w:lang w:val="id-ID"/>
        </w:rPr>
        <w:t>)</w:t>
      </w:r>
    </w:p>
    <w:p w14:paraId="00B45503" w14:textId="77777777" w:rsidR="00497DE8" w:rsidRDefault="00497DE8" w:rsidP="00497DE8">
      <w:pPr>
        <w:ind w:firstLine="426"/>
        <w:rPr>
          <w:szCs w:val="24"/>
        </w:rPr>
      </w:pPr>
    </w:p>
    <w:p w14:paraId="2DD6DC69" w14:textId="11ABA3B7" w:rsidR="00D50067" w:rsidRDefault="00D50067" w:rsidP="009267CF">
      <w:pPr>
        <w:ind w:firstLine="567"/>
        <w:rPr>
          <w:szCs w:val="24"/>
        </w:rPr>
      </w:pPr>
      <w:r w:rsidRPr="004D622D">
        <w:rPr>
          <w:szCs w:val="24"/>
        </w:rPr>
        <w:t xml:space="preserve">Dapat diketahui F hitung memiliki nilai sebesar 7,580 dengan tingkat nilai signifikansi sebesar 0,002 lebih kecil dari 0,005. Nilai F tabel </w:t>
      </w:r>
      <w:r w:rsidRPr="004D622D">
        <w:rPr>
          <w:szCs w:val="24"/>
        </w:rPr>
        <w:lastRenderedPageBreak/>
        <w:t>sebesar 4,098 lebih kecil dari nilai F</w:t>
      </w:r>
      <w:r>
        <w:rPr>
          <w:szCs w:val="24"/>
        </w:rPr>
        <w:t xml:space="preserve"> yang</w:t>
      </w:r>
      <w:r w:rsidRPr="004D622D">
        <w:rPr>
          <w:szCs w:val="24"/>
        </w:rPr>
        <w:t xml:space="preserve"> berarti secara simultan </w:t>
      </w:r>
      <w:r w:rsidRPr="004D622D">
        <w:rPr>
          <w:szCs w:val="24"/>
          <w:lang w:val="id-ID"/>
        </w:rPr>
        <w:t>ROA</w:t>
      </w:r>
      <w:r w:rsidRPr="004D622D">
        <w:rPr>
          <w:szCs w:val="24"/>
        </w:rPr>
        <w:t xml:space="preserve"> dan ROE berpengaruh terhadap </w:t>
      </w:r>
      <w:r w:rsidRPr="004D622D">
        <w:rPr>
          <w:szCs w:val="24"/>
          <w:lang w:val="id-ID"/>
        </w:rPr>
        <w:t>Harga Saham</w:t>
      </w:r>
      <w:r w:rsidRPr="004D622D">
        <w:rPr>
          <w:szCs w:val="24"/>
        </w:rPr>
        <w:t>.</w:t>
      </w:r>
    </w:p>
    <w:p w14:paraId="04ABFF45" w14:textId="77777777" w:rsidR="00873CB6" w:rsidRDefault="00873CB6" w:rsidP="00497DE8">
      <w:pPr>
        <w:ind w:firstLine="426"/>
        <w:rPr>
          <w:szCs w:val="24"/>
        </w:rPr>
      </w:pPr>
    </w:p>
    <w:p w14:paraId="1D9E3C23" w14:textId="537FDA7D" w:rsidR="0002497A" w:rsidRPr="006A194A" w:rsidRDefault="00A45E12" w:rsidP="00D50067">
      <w:pPr>
        <w:contextualSpacing/>
        <w:rPr>
          <w:szCs w:val="24"/>
          <w:lang w:val="id-ID"/>
        </w:rPr>
      </w:pPr>
      <w:r>
        <w:rPr>
          <w:szCs w:val="24"/>
        </w:rPr>
        <w:t>8. U</w:t>
      </w:r>
      <w:r w:rsidR="00D50067" w:rsidRPr="004D622D">
        <w:rPr>
          <w:szCs w:val="24"/>
          <w:lang w:val="id-ID"/>
        </w:rPr>
        <w:t>ji Koefisien Determinasi</w:t>
      </w:r>
    </w:p>
    <w:p w14:paraId="55F31882" w14:textId="77777777" w:rsidR="00D50067" w:rsidRPr="0002497A" w:rsidRDefault="00D50067" w:rsidP="007C74EC">
      <w:pPr>
        <w:contextualSpacing/>
        <w:jc w:val="center"/>
        <w:rPr>
          <w:sz w:val="18"/>
          <w:szCs w:val="18"/>
          <w:lang w:val="id-ID"/>
        </w:rPr>
      </w:pPr>
      <w:r w:rsidRPr="0002497A">
        <w:rPr>
          <w:sz w:val="18"/>
          <w:szCs w:val="18"/>
          <w:lang w:val="id-ID"/>
        </w:rPr>
        <w:t>Tabel 9. Hasil uji koefisien determinasi</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41"/>
        <w:gridCol w:w="645"/>
        <w:gridCol w:w="902"/>
        <w:gridCol w:w="902"/>
        <w:gridCol w:w="1162"/>
      </w:tblGrid>
      <w:tr w:rsidR="00D50067" w:rsidRPr="0002497A" w14:paraId="2140FCFC" w14:textId="77777777" w:rsidTr="00D50067">
        <w:trPr>
          <w:cantSplit/>
        </w:trPr>
        <w:tc>
          <w:tcPr>
            <w:tcW w:w="5000" w:type="pct"/>
            <w:gridSpan w:val="5"/>
            <w:shd w:val="clear" w:color="auto" w:fill="FFFFFF"/>
            <w:vAlign w:val="center"/>
          </w:tcPr>
          <w:p w14:paraId="6A001C0D" w14:textId="77777777" w:rsidR="00D50067" w:rsidRPr="0084509C" w:rsidRDefault="00D50067" w:rsidP="006A68DC">
            <w:pPr>
              <w:autoSpaceDE w:val="0"/>
              <w:autoSpaceDN w:val="0"/>
              <w:adjustRightInd w:val="0"/>
              <w:ind w:left="60" w:right="60"/>
              <w:jc w:val="center"/>
              <w:rPr>
                <w:color w:val="000000"/>
                <w:sz w:val="18"/>
                <w:szCs w:val="18"/>
              </w:rPr>
            </w:pPr>
            <w:r w:rsidRPr="0084509C">
              <w:rPr>
                <w:color w:val="000000"/>
                <w:sz w:val="18"/>
                <w:szCs w:val="18"/>
              </w:rPr>
              <w:t>Model Summary</w:t>
            </w:r>
          </w:p>
        </w:tc>
      </w:tr>
      <w:tr w:rsidR="00D50067" w:rsidRPr="0002497A" w14:paraId="75B8976B" w14:textId="77777777" w:rsidTr="00D50067">
        <w:trPr>
          <w:cantSplit/>
        </w:trPr>
        <w:tc>
          <w:tcPr>
            <w:tcW w:w="753" w:type="pct"/>
            <w:shd w:val="clear" w:color="auto" w:fill="FFFFFF"/>
            <w:vAlign w:val="bottom"/>
          </w:tcPr>
          <w:p w14:paraId="5536165A" w14:textId="77777777" w:rsidR="00D50067" w:rsidRPr="0002497A" w:rsidRDefault="00D50067" w:rsidP="006A68DC">
            <w:pPr>
              <w:autoSpaceDE w:val="0"/>
              <w:autoSpaceDN w:val="0"/>
              <w:adjustRightInd w:val="0"/>
              <w:ind w:left="60" w:right="60"/>
              <w:jc w:val="left"/>
              <w:rPr>
                <w:color w:val="000000"/>
                <w:sz w:val="18"/>
                <w:szCs w:val="18"/>
              </w:rPr>
            </w:pPr>
            <w:r w:rsidRPr="0002497A">
              <w:rPr>
                <w:color w:val="000000"/>
                <w:sz w:val="18"/>
                <w:szCs w:val="18"/>
              </w:rPr>
              <w:t>Model</w:t>
            </w:r>
          </w:p>
        </w:tc>
        <w:tc>
          <w:tcPr>
            <w:tcW w:w="759" w:type="pct"/>
            <w:shd w:val="clear" w:color="auto" w:fill="FFFFFF"/>
            <w:vAlign w:val="bottom"/>
          </w:tcPr>
          <w:p w14:paraId="17046D7D" w14:textId="77777777" w:rsidR="00D50067" w:rsidRPr="0002497A" w:rsidRDefault="00D50067" w:rsidP="006A68DC">
            <w:pPr>
              <w:autoSpaceDE w:val="0"/>
              <w:autoSpaceDN w:val="0"/>
              <w:adjustRightInd w:val="0"/>
              <w:ind w:left="60" w:right="60"/>
              <w:jc w:val="center"/>
              <w:rPr>
                <w:color w:val="000000"/>
                <w:sz w:val="18"/>
                <w:szCs w:val="18"/>
              </w:rPr>
            </w:pPr>
            <w:r w:rsidRPr="0002497A">
              <w:rPr>
                <w:color w:val="000000"/>
                <w:sz w:val="18"/>
                <w:szCs w:val="18"/>
              </w:rPr>
              <w:t>R</w:t>
            </w:r>
          </w:p>
        </w:tc>
        <w:tc>
          <w:tcPr>
            <w:tcW w:w="1061" w:type="pct"/>
            <w:shd w:val="clear" w:color="auto" w:fill="FFFFFF"/>
            <w:vAlign w:val="bottom"/>
          </w:tcPr>
          <w:p w14:paraId="1FE91261" w14:textId="77777777" w:rsidR="00D50067" w:rsidRPr="0002497A" w:rsidRDefault="00D50067" w:rsidP="006A68DC">
            <w:pPr>
              <w:autoSpaceDE w:val="0"/>
              <w:autoSpaceDN w:val="0"/>
              <w:adjustRightInd w:val="0"/>
              <w:ind w:left="60" w:right="60"/>
              <w:jc w:val="center"/>
              <w:rPr>
                <w:color w:val="000000"/>
                <w:sz w:val="18"/>
                <w:szCs w:val="18"/>
              </w:rPr>
            </w:pPr>
            <w:r w:rsidRPr="0002497A">
              <w:rPr>
                <w:color w:val="000000"/>
                <w:sz w:val="18"/>
                <w:szCs w:val="18"/>
              </w:rPr>
              <w:t>R Square</w:t>
            </w:r>
          </w:p>
        </w:tc>
        <w:tc>
          <w:tcPr>
            <w:tcW w:w="1061" w:type="pct"/>
            <w:shd w:val="clear" w:color="auto" w:fill="FFFFFF"/>
            <w:vAlign w:val="bottom"/>
          </w:tcPr>
          <w:p w14:paraId="4B72CF08" w14:textId="77777777" w:rsidR="00D50067" w:rsidRPr="0002497A" w:rsidRDefault="00D50067" w:rsidP="006A68DC">
            <w:pPr>
              <w:autoSpaceDE w:val="0"/>
              <w:autoSpaceDN w:val="0"/>
              <w:adjustRightInd w:val="0"/>
              <w:ind w:left="60" w:right="60"/>
              <w:jc w:val="center"/>
              <w:rPr>
                <w:color w:val="000000"/>
                <w:sz w:val="18"/>
                <w:szCs w:val="18"/>
              </w:rPr>
            </w:pPr>
            <w:r w:rsidRPr="0002497A">
              <w:rPr>
                <w:color w:val="000000"/>
                <w:sz w:val="18"/>
                <w:szCs w:val="18"/>
              </w:rPr>
              <w:t>Adjusted R Square</w:t>
            </w:r>
          </w:p>
        </w:tc>
        <w:tc>
          <w:tcPr>
            <w:tcW w:w="1365" w:type="pct"/>
            <w:shd w:val="clear" w:color="auto" w:fill="FFFFFF"/>
            <w:vAlign w:val="bottom"/>
          </w:tcPr>
          <w:p w14:paraId="0E7D3DCD" w14:textId="77777777" w:rsidR="00D50067" w:rsidRPr="0002497A" w:rsidRDefault="00D50067" w:rsidP="006A68DC">
            <w:pPr>
              <w:autoSpaceDE w:val="0"/>
              <w:autoSpaceDN w:val="0"/>
              <w:adjustRightInd w:val="0"/>
              <w:ind w:left="60" w:right="60"/>
              <w:jc w:val="center"/>
              <w:rPr>
                <w:color w:val="000000"/>
                <w:sz w:val="18"/>
                <w:szCs w:val="18"/>
              </w:rPr>
            </w:pPr>
            <w:r w:rsidRPr="0002497A">
              <w:rPr>
                <w:color w:val="000000"/>
                <w:sz w:val="18"/>
                <w:szCs w:val="18"/>
              </w:rPr>
              <w:t>Std. Error of the Estimate</w:t>
            </w:r>
          </w:p>
        </w:tc>
      </w:tr>
      <w:tr w:rsidR="00D50067" w:rsidRPr="0002497A" w14:paraId="0E6E8051" w14:textId="77777777" w:rsidTr="00D50067">
        <w:trPr>
          <w:cantSplit/>
        </w:trPr>
        <w:tc>
          <w:tcPr>
            <w:tcW w:w="753" w:type="pct"/>
            <w:shd w:val="clear" w:color="auto" w:fill="FFFFFF"/>
          </w:tcPr>
          <w:p w14:paraId="4595DBAE" w14:textId="77777777" w:rsidR="00D50067" w:rsidRPr="0002497A" w:rsidRDefault="00D50067" w:rsidP="006A68DC">
            <w:pPr>
              <w:autoSpaceDE w:val="0"/>
              <w:autoSpaceDN w:val="0"/>
              <w:adjustRightInd w:val="0"/>
              <w:ind w:left="60" w:right="60"/>
              <w:jc w:val="left"/>
              <w:rPr>
                <w:color w:val="000000"/>
                <w:sz w:val="18"/>
                <w:szCs w:val="18"/>
              </w:rPr>
            </w:pPr>
            <w:r w:rsidRPr="0002497A">
              <w:rPr>
                <w:color w:val="000000"/>
                <w:sz w:val="18"/>
                <w:szCs w:val="18"/>
              </w:rPr>
              <w:t>1</w:t>
            </w:r>
          </w:p>
        </w:tc>
        <w:tc>
          <w:tcPr>
            <w:tcW w:w="759" w:type="pct"/>
            <w:shd w:val="clear" w:color="auto" w:fill="FFFFFF"/>
            <w:vAlign w:val="center"/>
          </w:tcPr>
          <w:p w14:paraId="21198D23" w14:textId="77777777" w:rsidR="00D50067" w:rsidRPr="0002497A" w:rsidRDefault="00D50067" w:rsidP="006A68DC">
            <w:pPr>
              <w:autoSpaceDE w:val="0"/>
              <w:autoSpaceDN w:val="0"/>
              <w:adjustRightInd w:val="0"/>
              <w:ind w:left="60" w:right="60"/>
              <w:jc w:val="right"/>
              <w:rPr>
                <w:color w:val="000000"/>
                <w:sz w:val="18"/>
                <w:szCs w:val="18"/>
              </w:rPr>
            </w:pPr>
            <w:r w:rsidRPr="0002497A">
              <w:rPr>
                <w:color w:val="000000"/>
                <w:sz w:val="18"/>
                <w:szCs w:val="18"/>
              </w:rPr>
              <w:t>,539</w:t>
            </w:r>
            <w:r w:rsidRPr="0002497A">
              <w:rPr>
                <w:color w:val="000000"/>
                <w:sz w:val="18"/>
                <w:szCs w:val="18"/>
                <w:vertAlign w:val="superscript"/>
              </w:rPr>
              <w:t>a</w:t>
            </w:r>
          </w:p>
        </w:tc>
        <w:tc>
          <w:tcPr>
            <w:tcW w:w="1061" w:type="pct"/>
            <w:shd w:val="clear" w:color="auto" w:fill="FFFFFF"/>
            <w:vAlign w:val="center"/>
          </w:tcPr>
          <w:p w14:paraId="6C4832E8" w14:textId="77777777" w:rsidR="00D50067" w:rsidRPr="0002497A" w:rsidRDefault="00D50067" w:rsidP="006A68DC">
            <w:pPr>
              <w:autoSpaceDE w:val="0"/>
              <w:autoSpaceDN w:val="0"/>
              <w:adjustRightInd w:val="0"/>
              <w:ind w:left="60" w:right="60"/>
              <w:jc w:val="right"/>
              <w:rPr>
                <w:color w:val="000000"/>
                <w:sz w:val="18"/>
                <w:szCs w:val="18"/>
              </w:rPr>
            </w:pPr>
            <w:r w:rsidRPr="0002497A">
              <w:rPr>
                <w:color w:val="000000"/>
                <w:sz w:val="18"/>
                <w:szCs w:val="18"/>
              </w:rPr>
              <w:t>,291</w:t>
            </w:r>
          </w:p>
        </w:tc>
        <w:tc>
          <w:tcPr>
            <w:tcW w:w="1061" w:type="pct"/>
            <w:shd w:val="clear" w:color="auto" w:fill="FFFFFF"/>
            <w:vAlign w:val="center"/>
          </w:tcPr>
          <w:p w14:paraId="28D5DB27" w14:textId="77777777" w:rsidR="00D50067" w:rsidRPr="0002497A" w:rsidRDefault="00D50067" w:rsidP="006A68DC">
            <w:pPr>
              <w:autoSpaceDE w:val="0"/>
              <w:autoSpaceDN w:val="0"/>
              <w:adjustRightInd w:val="0"/>
              <w:ind w:left="60" w:right="60"/>
              <w:jc w:val="right"/>
              <w:rPr>
                <w:color w:val="000000"/>
                <w:sz w:val="18"/>
                <w:szCs w:val="18"/>
              </w:rPr>
            </w:pPr>
            <w:r w:rsidRPr="0002497A">
              <w:rPr>
                <w:color w:val="000000"/>
                <w:sz w:val="18"/>
                <w:szCs w:val="18"/>
              </w:rPr>
              <w:t>,252</w:t>
            </w:r>
          </w:p>
        </w:tc>
        <w:tc>
          <w:tcPr>
            <w:tcW w:w="1365" w:type="pct"/>
            <w:shd w:val="clear" w:color="auto" w:fill="FFFFFF"/>
            <w:vAlign w:val="center"/>
          </w:tcPr>
          <w:p w14:paraId="2F453E29" w14:textId="77777777" w:rsidR="00D50067" w:rsidRPr="0002497A" w:rsidRDefault="00D50067" w:rsidP="006A68DC">
            <w:pPr>
              <w:autoSpaceDE w:val="0"/>
              <w:autoSpaceDN w:val="0"/>
              <w:adjustRightInd w:val="0"/>
              <w:ind w:left="60" w:right="60"/>
              <w:jc w:val="right"/>
              <w:rPr>
                <w:color w:val="000000"/>
                <w:sz w:val="18"/>
                <w:szCs w:val="18"/>
              </w:rPr>
            </w:pPr>
            <w:r w:rsidRPr="0002497A">
              <w:rPr>
                <w:color w:val="000000"/>
                <w:sz w:val="18"/>
                <w:szCs w:val="18"/>
              </w:rPr>
              <w:t>2376,95891</w:t>
            </w:r>
          </w:p>
        </w:tc>
      </w:tr>
      <w:tr w:rsidR="00D50067" w:rsidRPr="0002497A" w14:paraId="0CA328F0" w14:textId="77777777" w:rsidTr="00D50067">
        <w:trPr>
          <w:cantSplit/>
        </w:trPr>
        <w:tc>
          <w:tcPr>
            <w:tcW w:w="5000" w:type="pct"/>
            <w:gridSpan w:val="5"/>
            <w:shd w:val="clear" w:color="auto" w:fill="FFFFFF"/>
          </w:tcPr>
          <w:p w14:paraId="403D5999" w14:textId="77777777" w:rsidR="00D50067" w:rsidRPr="0002497A" w:rsidRDefault="00D50067" w:rsidP="006A68DC">
            <w:pPr>
              <w:autoSpaceDE w:val="0"/>
              <w:autoSpaceDN w:val="0"/>
              <w:adjustRightInd w:val="0"/>
              <w:ind w:left="60" w:right="60"/>
              <w:jc w:val="left"/>
              <w:rPr>
                <w:color w:val="000000"/>
                <w:sz w:val="18"/>
                <w:szCs w:val="18"/>
              </w:rPr>
            </w:pPr>
            <w:r w:rsidRPr="0002497A">
              <w:rPr>
                <w:color w:val="000000"/>
                <w:sz w:val="18"/>
                <w:szCs w:val="18"/>
              </w:rPr>
              <w:t>a. Predictors: (Constant), ROE, ROA</w:t>
            </w:r>
          </w:p>
        </w:tc>
      </w:tr>
    </w:tbl>
    <w:p w14:paraId="6A66374E" w14:textId="77777777" w:rsidR="00D50067" w:rsidRDefault="00D50067" w:rsidP="00D50067">
      <w:pPr>
        <w:rPr>
          <w:sz w:val="18"/>
          <w:szCs w:val="18"/>
          <w:lang w:val="id-ID"/>
        </w:rPr>
      </w:pPr>
      <w:r w:rsidRPr="0002497A">
        <w:rPr>
          <w:sz w:val="18"/>
          <w:szCs w:val="18"/>
        </w:rPr>
        <w:t xml:space="preserve">Sumber : </w:t>
      </w:r>
      <w:r w:rsidRPr="0002497A">
        <w:rPr>
          <w:sz w:val="18"/>
          <w:szCs w:val="18"/>
          <w:lang w:val="id-ID"/>
        </w:rPr>
        <w:t>(Hasil Olah Data SPSS v22</w:t>
      </w:r>
      <w:r w:rsidRPr="0002497A">
        <w:rPr>
          <w:sz w:val="18"/>
          <w:szCs w:val="18"/>
        </w:rPr>
        <w:t>, 2023</w:t>
      </w:r>
      <w:r w:rsidRPr="0002497A">
        <w:rPr>
          <w:sz w:val="18"/>
          <w:szCs w:val="18"/>
          <w:lang w:val="id-ID"/>
        </w:rPr>
        <w:t>)</w:t>
      </w:r>
    </w:p>
    <w:p w14:paraId="1BEA4582" w14:textId="77777777" w:rsidR="00B66ECE" w:rsidRDefault="00B66ECE" w:rsidP="00D50067">
      <w:pPr>
        <w:rPr>
          <w:szCs w:val="24"/>
          <w:lang w:val="id-ID"/>
        </w:rPr>
      </w:pPr>
    </w:p>
    <w:p w14:paraId="437AA08D" w14:textId="36556A19" w:rsidR="00C476A7" w:rsidRDefault="00D50067" w:rsidP="009267CF">
      <w:pPr>
        <w:ind w:firstLine="567"/>
        <w:rPr>
          <w:szCs w:val="24"/>
        </w:rPr>
      </w:pPr>
      <w:r>
        <w:rPr>
          <w:szCs w:val="24"/>
        </w:rPr>
        <w:t>Berdasarkan hasil tabel IV. 1</w:t>
      </w:r>
      <w:r>
        <w:rPr>
          <w:szCs w:val="24"/>
          <w:lang w:val="id-ID"/>
        </w:rPr>
        <w:t>2</w:t>
      </w:r>
      <w:r w:rsidRPr="004D622D">
        <w:rPr>
          <w:szCs w:val="24"/>
        </w:rPr>
        <w:t xml:space="preserve">  diperoleh R Square sebesar 0,291 yang artinya jika diubah ke dalam bentuk presentase akan menghasilkan R Square sebesar 29,1%. Hal ini berarti </w:t>
      </w:r>
      <w:r w:rsidRPr="004D622D">
        <w:rPr>
          <w:szCs w:val="24"/>
          <w:lang w:val="id-ID"/>
        </w:rPr>
        <w:t>ROA</w:t>
      </w:r>
      <w:r w:rsidRPr="004D622D">
        <w:rPr>
          <w:szCs w:val="24"/>
        </w:rPr>
        <w:t xml:space="preserve"> (X1) dan ROE (X2) memiliki kontribusi sebanyak 29,1% terhadap H</w:t>
      </w:r>
      <w:r w:rsidRPr="004D622D">
        <w:rPr>
          <w:szCs w:val="24"/>
          <w:lang w:val="id-ID"/>
        </w:rPr>
        <w:t>arga Saham</w:t>
      </w:r>
      <w:r w:rsidRPr="004D622D">
        <w:rPr>
          <w:szCs w:val="24"/>
        </w:rPr>
        <w:t xml:space="preserve"> (Y).</w:t>
      </w:r>
      <w:bookmarkStart w:id="6" w:name="_Toc136900761"/>
      <w:r w:rsidR="003D18C4">
        <w:rPr>
          <w:szCs w:val="24"/>
        </w:rPr>
        <w:t xml:space="preserve"> </w:t>
      </w:r>
    </w:p>
    <w:p w14:paraId="01974EF8" w14:textId="0F930107" w:rsidR="00E816B2" w:rsidRDefault="00E74DF8" w:rsidP="006812B5">
      <w:pPr>
        <w:rPr>
          <w:bCs/>
        </w:rPr>
      </w:pPr>
      <w:r>
        <w:rPr>
          <w:bCs/>
        </w:rPr>
        <w:t xml:space="preserve">A. </w:t>
      </w:r>
      <w:r w:rsidR="006812B5">
        <w:rPr>
          <w:bCs/>
        </w:rPr>
        <w:t xml:space="preserve"> </w:t>
      </w:r>
      <w:r w:rsidR="00D50067" w:rsidRPr="00E96936">
        <w:rPr>
          <w:bCs/>
          <w:lang w:val="id-ID"/>
        </w:rPr>
        <w:t xml:space="preserve">Pengaruh </w:t>
      </w:r>
      <w:r w:rsidR="00D50067" w:rsidRPr="00E96936">
        <w:rPr>
          <w:bCs/>
          <w:i/>
          <w:lang w:val="id-ID"/>
        </w:rPr>
        <w:t>Return On Assetss</w:t>
      </w:r>
      <w:r w:rsidR="00D50067" w:rsidRPr="00E96936">
        <w:rPr>
          <w:bCs/>
          <w:lang w:val="id-ID"/>
        </w:rPr>
        <w:t xml:space="preserve"> (X1) Terhadap</w:t>
      </w:r>
      <w:r w:rsidR="00B57D8C">
        <w:rPr>
          <w:bCs/>
        </w:rPr>
        <w:t xml:space="preserve"> Harga</w:t>
      </w:r>
      <w:r w:rsidR="00D50067" w:rsidRPr="00E96936">
        <w:rPr>
          <w:bCs/>
          <w:lang w:val="id-ID"/>
        </w:rPr>
        <w:t xml:space="preserve"> </w:t>
      </w:r>
      <w:r w:rsidR="00E816B2">
        <w:rPr>
          <w:bCs/>
        </w:rPr>
        <w:t xml:space="preserve">    </w:t>
      </w:r>
    </w:p>
    <w:p w14:paraId="02330240" w14:textId="3111B67F" w:rsidR="00D50067" w:rsidRPr="006812B5" w:rsidRDefault="00E816B2" w:rsidP="006812B5">
      <w:pPr>
        <w:rPr>
          <w:bCs/>
          <w:lang w:val="id-ID"/>
        </w:rPr>
      </w:pPr>
      <w:r>
        <w:rPr>
          <w:bCs/>
        </w:rPr>
        <w:t xml:space="preserve">      </w:t>
      </w:r>
      <w:r w:rsidR="00D50067" w:rsidRPr="00E96936">
        <w:rPr>
          <w:bCs/>
          <w:lang w:val="id-ID"/>
        </w:rPr>
        <w:t>Saham (Y)</w:t>
      </w:r>
      <w:bookmarkEnd w:id="6"/>
    </w:p>
    <w:p w14:paraId="79EA15BB" w14:textId="77777777" w:rsidR="00D50067" w:rsidRPr="00E96936" w:rsidRDefault="00D50067" w:rsidP="00FB44A9">
      <w:pPr>
        <w:rPr>
          <w:lang w:val="en-GB"/>
        </w:rPr>
      </w:pPr>
      <w:r w:rsidRPr="00E96936">
        <w:t>Pada penelitian ini diperoleh hasil uji parsial t menunjukkan bahwa RO</w:t>
      </w:r>
      <w:r w:rsidRPr="00E96936">
        <w:rPr>
          <w:lang w:val="id-ID"/>
        </w:rPr>
        <w:t>A</w:t>
      </w:r>
      <w:r w:rsidRPr="00E96936">
        <w:t xml:space="preserve"> (X1) </w:t>
      </w:r>
      <w:r w:rsidRPr="00E96936">
        <w:rPr>
          <w:lang w:val="id-ID"/>
        </w:rPr>
        <w:t xml:space="preserve">sebesar 3,361 &gt; 2,026 sementara </w:t>
      </w:r>
      <w:r w:rsidRPr="00E96936">
        <w:t xml:space="preserve">nilai Signifikansi (Sig) variabel ROA adalah sebesar </w:t>
      </w:r>
      <w:r w:rsidRPr="00E96936">
        <w:rPr>
          <w:lang w:val="id-ID"/>
        </w:rPr>
        <w:t xml:space="preserve">0,02 &lt; 0,05. Maka </w:t>
      </w:r>
      <w:r w:rsidRPr="00E96936">
        <w:t>dapat disimpulkan bahwa H</w:t>
      </w:r>
      <w:r w:rsidRPr="00E96936">
        <w:rPr>
          <w:lang w:val="id-ID"/>
        </w:rPr>
        <w:t>0</w:t>
      </w:r>
      <w:r w:rsidRPr="00E96936">
        <w:t>1 dit</w:t>
      </w:r>
      <w:r w:rsidRPr="00E96936">
        <w:rPr>
          <w:lang w:val="id-ID"/>
        </w:rPr>
        <w:t>olak</w:t>
      </w:r>
      <w:r w:rsidRPr="00E96936">
        <w:t xml:space="preserve"> dan Ha1 diterima. Artinya ada pengaruh signifikan antara ROE (X2) terhadap Harga Saham (Y).</w:t>
      </w:r>
      <w:r>
        <w:t xml:space="preserve"> </w:t>
      </w:r>
      <w:r w:rsidRPr="00E96936">
        <w:t xml:space="preserve">Hal ini menunjukkan bahwa apabila nilai </w:t>
      </w:r>
      <w:r w:rsidRPr="00E96936">
        <w:rPr>
          <w:lang w:val="id-ID"/>
        </w:rPr>
        <w:t>ROA</w:t>
      </w:r>
      <w:r w:rsidRPr="00E96936">
        <w:t xml:space="preserve"> di suatu perusahaan semakin besar maka membuat harga sahamnya juga meningkat. ROA merupakan salah satu dari sekian banyaknya variabel yang dapat mempengaruhi harga saham, karena para investor seringkali memusatkan perhatian pada </w:t>
      </w:r>
      <w:r w:rsidRPr="00E96936">
        <w:rPr>
          <w:lang w:val="id-ID"/>
        </w:rPr>
        <w:t>ROA</w:t>
      </w:r>
      <w:r w:rsidRPr="00E96936">
        <w:t xml:space="preserve"> perusahaan dalam melakukan analisis. </w:t>
      </w:r>
      <w:r w:rsidRPr="00E96936">
        <w:rPr>
          <w:lang w:val="id-ID"/>
        </w:rPr>
        <w:t>ROA</w:t>
      </w:r>
      <w:r w:rsidRPr="00E96936">
        <w:t xml:space="preserve"> menggambarkan profitabilitas perusahaan yang tergambar pada setiap lembar saham. Para calon pemegang saham tertarik dengan ROA yang besar, karena hal ini merupakan indikator prestasi/pencapaian dari keberhasilan di suatu perusahaan, sehingga fluktuasi ROA ini akan mempengaruhi permintaan terhadap saham, yang pada akhirnya akan mempengaruhi harga saham.</w:t>
      </w:r>
      <w:r>
        <w:t xml:space="preserve"> </w:t>
      </w:r>
      <w:r w:rsidRPr="00E96936">
        <w:rPr>
          <w:lang w:val="en-GB"/>
        </w:rPr>
        <w:t>Penelitian ini ada kesaman degan penelitian</w:t>
      </w:r>
      <w:r w:rsidRPr="00E96936">
        <w:rPr>
          <w:lang w:val="id-ID"/>
        </w:rPr>
        <w:t xml:space="preserve"> </w:t>
      </w:r>
      <w:r w:rsidRPr="00E96936">
        <w:rPr>
          <w:lang w:val="id-ID"/>
        </w:rPr>
        <w:fldChar w:fldCharType="begin" w:fldLock="1"/>
      </w:r>
      <w:r w:rsidRPr="00E96936">
        <w:rPr>
          <w:lang w:val="id-ID"/>
        </w:rPr>
        <w:instrText>ADDIN CSL_CITATION {"citationItems":[{"id":"ITEM-1","itemData":{"ISSN":"2599-2651","author":[{"dropping-particle":"","family":"Junaidi","given":"Junaidi","non-dropping-particle":"","parse-names":false,"suffix":""},{"dropping-particle":"","family":"Cipta","given":"Wayan","non-dropping-particle":"","parse-names":false,"suffix":""}],"container-title":"Jurnal Ilmiah Akuntansi dan Humanika","id":"ITEM-1","issue":"2","issued":{"date-parts":[["2021"]]},"page":"189-198","title":"Pengaruh Return on Asset dan Return on Equity serta Net Profit Margin terhadap Harga Saham Indeks Lq45 di Bursa Efek Indonesia","type":"article-journal","volume":"11"},"uris":["http://www.mendeley.com/documents/?uuid=10b13157-2781-452b-a147-67748b4e617d"]}],"mendeley":{"formattedCitation":"(Junaidi &amp; Cipta, 2021)","plainTextFormattedCitation":"(Junaidi &amp; Cipta, 2021)","previouslyFormattedCitation":"(Junaidi &amp; Cipta, 2021)"},"properties":{"noteIndex":0},"schema":"https://github.com/citation-style-language/schema/raw/master/csl-citation.json"}</w:instrText>
      </w:r>
      <w:r w:rsidRPr="00E96936">
        <w:rPr>
          <w:lang w:val="id-ID"/>
        </w:rPr>
        <w:fldChar w:fldCharType="separate"/>
      </w:r>
      <w:r w:rsidRPr="00E96936">
        <w:rPr>
          <w:noProof/>
          <w:lang w:val="id-ID"/>
        </w:rPr>
        <w:t>(Junaidi &amp; Cipta, 2021)</w:t>
      </w:r>
      <w:r w:rsidRPr="00E96936">
        <w:rPr>
          <w:lang w:val="id-ID"/>
        </w:rPr>
        <w:fldChar w:fldCharType="end"/>
      </w:r>
      <w:r w:rsidRPr="00E96936">
        <w:rPr>
          <w:lang w:val="id-ID"/>
        </w:rPr>
        <w:t xml:space="preserve"> dan </w:t>
      </w:r>
      <w:r w:rsidRPr="00E96936">
        <w:rPr>
          <w:lang w:val="id-ID"/>
        </w:rPr>
        <w:fldChar w:fldCharType="begin" w:fldLock="1"/>
      </w:r>
      <w:r w:rsidRPr="00E96936">
        <w:rPr>
          <w:lang w:val="id-ID"/>
        </w:rPr>
        <w:instrText>ADDIN CSL_CITATION {"citationItems":[{"id":"ITEM-1","itemData":{"ISSN":"2613-8956","author":[{"dropping-particle":"","family":"Putri","given":"Nyayu Khairani","non-dropping-particle":"","parse-names":false,"suffix":""},{"dropping-particle":"","family":"Septianti","given":"Dian","non-dropping-particle":"","parse-names":false,"suffix":""}],"container-title":"Jurnal Akuntansi Dan Bisnis","id":"ITEM-1","issue":"2","issued":{"date-parts":[["2020"]]},"page":"145-155","title":"Pengaruh Return on Assets Return on Equity Debt To Equity Ratio Dan Book Value Per Share Terhadap Harga Saham","type":"article-journal","volume":"5"},"uris":["http://www.mendeley.com/documents/?uuid=6bb206b2-0105-4a9a-9f0a-7be0f9e89472"]}],"mendeley":{"formattedCitation":"(Putri &amp; Septianti, 2020)","plainTextFormattedCitation":"(Putri &amp; Septianti, 2020)","previouslyFormattedCitation":"(Putri &amp; Septianti, 2020)"},"properties":{"noteIndex":0},"schema":"https://github.com/citation-style-language/schema/raw/master/csl-citation.json"}</w:instrText>
      </w:r>
      <w:r w:rsidRPr="00E96936">
        <w:rPr>
          <w:lang w:val="id-ID"/>
        </w:rPr>
        <w:fldChar w:fldCharType="separate"/>
      </w:r>
      <w:r w:rsidRPr="00E96936">
        <w:rPr>
          <w:noProof/>
          <w:lang w:val="id-ID"/>
        </w:rPr>
        <w:t>(Putri &amp; Septianti, 2020)</w:t>
      </w:r>
      <w:r w:rsidRPr="00E96936">
        <w:rPr>
          <w:lang w:val="id-ID"/>
        </w:rPr>
        <w:fldChar w:fldCharType="end"/>
      </w:r>
      <w:r w:rsidRPr="00E96936">
        <w:rPr>
          <w:lang w:val="id-ID"/>
        </w:rPr>
        <w:t xml:space="preserve"> dengan </w:t>
      </w:r>
      <w:r w:rsidRPr="00E96936">
        <w:rPr>
          <w:lang w:val="en-GB"/>
        </w:rPr>
        <w:t xml:space="preserve">hasil penelitian </w:t>
      </w:r>
      <w:r w:rsidRPr="00E96936">
        <w:rPr>
          <w:lang w:val="id-ID"/>
        </w:rPr>
        <w:t xml:space="preserve">yang </w:t>
      </w:r>
      <w:r w:rsidRPr="00E96936">
        <w:rPr>
          <w:lang w:val="en-GB"/>
        </w:rPr>
        <w:t xml:space="preserve">menunjukkan bahwa Berdasarkan uji t atau secara parsial </w:t>
      </w:r>
      <w:r w:rsidRPr="00E96936">
        <w:rPr>
          <w:lang w:val="id-ID"/>
        </w:rPr>
        <w:t>ROA</w:t>
      </w:r>
      <w:r w:rsidRPr="00E96936">
        <w:rPr>
          <w:lang w:val="en-GB"/>
        </w:rPr>
        <w:t xml:space="preserve"> juga berpengaruh positif dan signifikan terhadap harga saham.</w:t>
      </w:r>
    </w:p>
    <w:p w14:paraId="1DED187D" w14:textId="429E8CF2" w:rsidR="009E2011" w:rsidRDefault="009E2011" w:rsidP="00D50067">
      <w:pPr>
        <w:pStyle w:val="Heading3"/>
        <w:numPr>
          <w:ilvl w:val="0"/>
          <w:numId w:val="0"/>
        </w:numPr>
        <w:spacing w:before="0" w:line="240" w:lineRule="auto"/>
        <w:rPr>
          <w:b w:val="0"/>
          <w:bCs/>
          <w:sz w:val="20"/>
          <w:szCs w:val="20"/>
        </w:rPr>
      </w:pPr>
      <w:bookmarkStart w:id="7" w:name="_Toc136900762"/>
      <w:r>
        <w:rPr>
          <w:b w:val="0"/>
          <w:bCs/>
          <w:sz w:val="20"/>
          <w:szCs w:val="20"/>
        </w:rPr>
        <w:t xml:space="preserve">B.   </w:t>
      </w:r>
      <w:r w:rsidR="00D50067" w:rsidRPr="00E96936">
        <w:rPr>
          <w:b w:val="0"/>
          <w:bCs/>
          <w:sz w:val="20"/>
          <w:szCs w:val="20"/>
          <w:lang w:val="id-ID"/>
        </w:rPr>
        <w:t xml:space="preserve">Pengaruh  </w:t>
      </w:r>
      <w:r w:rsidR="00D50067" w:rsidRPr="00E96936">
        <w:rPr>
          <w:b w:val="0"/>
          <w:bCs/>
          <w:i/>
          <w:sz w:val="20"/>
          <w:szCs w:val="20"/>
          <w:lang w:val="id-ID"/>
        </w:rPr>
        <w:t>Return On Equity</w:t>
      </w:r>
      <w:r w:rsidR="00D50067" w:rsidRPr="00E96936">
        <w:rPr>
          <w:b w:val="0"/>
          <w:bCs/>
          <w:sz w:val="20"/>
          <w:szCs w:val="20"/>
          <w:lang w:val="id-ID"/>
        </w:rPr>
        <w:t xml:space="preserve"> (X2) Terhadap</w:t>
      </w:r>
      <w:r w:rsidR="00122157">
        <w:rPr>
          <w:b w:val="0"/>
          <w:bCs/>
          <w:sz w:val="20"/>
          <w:szCs w:val="20"/>
        </w:rPr>
        <w:t xml:space="preserve"> Harga</w:t>
      </w:r>
      <w:r>
        <w:rPr>
          <w:b w:val="0"/>
          <w:bCs/>
          <w:sz w:val="20"/>
          <w:szCs w:val="20"/>
        </w:rPr>
        <w:t xml:space="preserve"> </w:t>
      </w:r>
    </w:p>
    <w:p w14:paraId="2450A7E4" w14:textId="179A191C" w:rsidR="00D50067" w:rsidRPr="00E96936" w:rsidRDefault="009E2011" w:rsidP="00D50067">
      <w:pPr>
        <w:pStyle w:val="Heading3"/>
        <w:numPr>
          <w:ilvl w:val="0"/>
          <w:numId w:val="0"/>
        </w:numPr>
        <w:spacing w:before="0" w:line="240" w:lineRule="auto"/>
        <w:rPr>
          <w:b w:val="0"/>
          <w:bCs/>
          <w:sz w:val="20"/>
          <w:szCs w:val="20"/>
          <w:lang w:val="id-ID"/>
        </w:rPr>
      </w:pPr>
      <w:r>
        <w:rPr>
          <w:b w:val="0"/>
          <w:bCs/>
          <w:sz w:val="20"/>
          <w:szCs w:val="20"/>
        </w:rPr>
        <w:t xml:space="preserve">      </w:t>
      </w:r>
      <w:r w:rsidR="00D50067" w:rsidRPr="00E96936">
        <w:rPr>
          <w:b w:val="0"/>
          <w:bCs/>
          <w:sz w:val="20"/>
          <w:szCs w:val="20"/>
          <w:lang w:val="id-ID"/>
        </w:rPr>
        <w:t>Saham (Y)</w:t>
      </w:r>
      <w:bookmarkEnd w:id="7"/>
      <w:r w:rsidR="00D50067" w:rsidRPr="00E96936">
        <w:rPr>
          <w:b w:val="0"/>
          <w:bCs/>
          <w:sz w:val="20"/>
          <w:szCs w:val="20"/>
          <w:lang w:val="id-ID"/>
        </w:rPr>
        <w:t xml:space="preserve"> </w:t>
      </w:r>
    </w:p>
    <w:p w14:paraId="75AB121B" w14:textId="048325FF" w:rsidR="00086B25" w:rsidRPr="00E96936" w:rsidRDefault="00D50067" w:rsidP="009E2011">
      <w:pPr>
        <w:rPr>
          <w:lang w:val="en-GB"/>
        </w:rPr>
      </w:pPr>
      <w:r w:rsidRPr="00E96936">
        <w:t>Pada penelitian ini diperoleh hasil uji parsial t menunjukkan bahwa RO</w:t>
      </w:r>
      <w:r w:rsidRPr="00E96936">
        <w:rPr>
          <w:lang w:val="id-ID"/>
        </w:rPr>
        <w:t>E</w:t>
      </w:r>
      <w:r w:rsidRPr="00E96936">
        <w:t xml:space="preserve"> (X2) </w:t>
      </w:r>
      <w:r w:rsidRPr="00E96936">
        <w:rPr>
          <w:lang w:val="id-ID"/>
        </w:rPr>
        <w:t xml:space="preserve">sebesar 1,915 &lt; 2,026 sementara </w:t>
      </w:r>
      <w:r w:rsidRPr="00E96936">
        <w:t xml:space="preserve">nilai Signifikansi (Sig) variabel ROE adalah sebesar 0,173 </w:t>
      </w:r>
      <w:r w:rsidRPr="00E96936">
        <w:rPr>
          <w:lang w:val="id-ID"/>
        </w:rPr>
        <w:t xml:space="preserve">&gt; </w:t>
      </w:r>
      <w:r w:rsidRPr="00E96936">
        <w:t>0,05 maka dapat disimpulkan bahwa H</w:t>
      </w:r>
      <w:r w:rsidRPr="00E96936">
        <w:rPr>
          <w:lang w:val="id-ID"/>
        </w:rPr>
        <w:t>01</w:t>
      </w:r>
      <w:r w:rsidRPr="00E96936">
        <w:t xml:space="preserve"> diterima dan Ha2 ditolak. Artinya </w:t>
      </w:r>
      <w:r w:rsidRPr="00E96936">
        <w:rPr>
          <w:lang w:val="id-ID"/>
        </w:rPr>
        <w:t xml:space="preserve">tidak </w:t>
      </w:r>
      <w:r w:rsidRPr="00E96936">
        <w:t>ada pengaruh signifikan antara ROE (X2) terhadap Harga Saham (Y).</w:t>
      </w:r>
      <w:r>
        <w:t xml:space="preserve"> </w:t>
      </w:r>
      <w:r w:rsidRPr="00E96936">
        <w:t xml:space="preserve">Hal ini menunjukkan bahwa apabila nilai </w:t>
      </w:r>
      <w:r w:rsidRPr="00E96936">
        <w:rPr>
          <w:lang w:val="id-ID"/>
        </w:rPr>
        <w:t>ROE</w:t>
      </w:r>
      <w:r w:rsidRPr="00E96936">
        <w:t xml:space="preserve"> berpengaruh negative </w:t>
      </w:r>
      <w:r w:rsidRPr="00E96936">
        <w:rPr>
          <w:lang w:val="id-ID"/>
        </w:rPr>
        <w:t xml:space="preserve">dan tidak signifikan terhadap harga saham pada perusahaan perbankan, Temuan ini menunjukkan bahwa investor tidak memperhitungkan ROE ketika membuat </w:t>
      </w:r>
      <w:r w:rsidRPr="00E96936">
        <w:rPr>
          <w:lang w:val="id-ID"/>
        </w:rPr>
        <w:t>keputusan investasi karena manajemen tidak dapat secara efektif memanfaatkan semua sumber daya perusahaan, yang pada akhirnya mengakibatkan ketidakmampuan untuk menaikkan harga saham perusahaan dan membuat investor enggan berinvestasi di dalamnya.</w:t>
      </w:r>
      <w:r>
        <w:rPr>
          <w:lang w:val="id-ID"/>
        </w:rPr>
        <w:t xml:space="preserve"> </w:t>
      </w:r>
      <w:r w:rsidRPr="00E96936">
        <w:rPr>
          <w:lang w:val="id-ID"/>
        </w:rPr>
        <w:t xml:space="preserve">Penelitian ini ada kesamaan dengan hasil penelitian </w:t>
      </w:r>
      <w:r w:rsidRPr="00E96936">
        <w:rPr>
          <w:lang w:val="id-ID"/>
        </w:rPr>
        <w:fldChar w:fldCharType="begin" w:fldLock="1"/>
      </w:r>
      <w:r w:rsidRPr="00E96936">
        <w:rPr>
          <w:lang w:val="id-ID"/>
        </w:rPr>
        <w:instrText>ADDIN CSL_CITATION {"citationItems":[{"id":"ITEM-1","itemData":{"ISSN":"2613-8956","author":[{"dropping-particle":"","family":"Putri","given":"Nyayu Khairani","non-dropping-particle":"","parse-names":false,"suffix":""},{"dropping-particle":"","family":"Septianti","given":"Dian","non-dropping-particle":"","parse-names":false,"suffix":""}],"container-title":"Jurnal Akuntansi Dan Bisnis","id":"ITEM-1","issue":"2","issued":{"date-parts":[["2020"]]},"page":"145-155","title":"Pengaruh Return on Assets Return on Equity Debt To Equity Ratio Dan Book Value Per Share Terhadap Harga Saham","type":"article-journal","volume":"5"},"uris":["http://www.mendeley.com/documents/?uuid=6bb206b2-0105-4a9a-9f0a-7be0f9e89472"]}],"mendeley":{"formattedCitation":"(Putri &amp; Septianti, 2020)","plainTextFormattedCitation":"(Putri &amp; Septianti, 2020)","previouslyFormattedCitation":"(Putri &amp; Septianti, 2020)"},"properties":{"noteIndex":0},"schema":"https://github.com/citation-style-language/schema/raw/master/csl-citation.json"}</w:instrText>
      </w:r>
      <w:r w:rsidRPr="00E96936">
        <w:rPr>
          <w:lang w:val="id-ID"/>
        </w:rPr>
        <w:fldChar w:fldCharType="separate"/>
      </w:r>
      <w:r w:rsidRPr="00E96936">
        <w:rPr>
          <w:noProof/>
          <w:lang w:val="id-ID"/>
        </w:rPr>
        <w:t>(Putri &amp; Septianti, 2020)</w:t>
      </w:r>
      <w:r w:rsidRPr="00E96936">
        <w:rPr>
          <w:lang w:val="id-ID"/>
        </w:rPr>
        <w:fldChar w:fldCharType="end"/>
      </w:r>
      <w:r w:rsidRPr="00E96936">
        <w:rPr>
          <w:lang w:val="id-ID"/>
        </w:rPr>
        <w:t xml:space="preserve"> dengan </w:t>
      </w:r>
      <w:r w:rsidRPr="00E96936">
        <w:rPr>
          <w:lang w:val="en-GB"/>
        </w:rPr>
        <w:t xml:space="preserve">hasil penelitian </w:t>
      </w:r>
      <w:r w:rsidRPr="00E96936">
        <w:rPr>
          <w:lang w:val="id-ID"/>
        </w:rPr>
        <w:t xml:space="preserve">yang </w:t>
      </w:r>
      <w:r w:rsidRPr="00E96936">
        <w:rPr>
          <w:lang w:val="en-GB"/>
        </w:rPr>
        <w:t xml:space="preserve">menunjukkan bahwa Berdasarkan uji t atau secara parsial </w:t>
      </w:r>
      <w:r w:rsidRPr="00E96936">
        <w:rPr>
          <w:lang w:val="id-ID"/>
        </w:rPr>
        <w:t>ROE</w:t>
      </w:r>
      <w:r w:rsidRPr="00E96936">
        <w:rPr>
          <w:lang w:val="en-GB"/>
        </w:rPr>
        <w:t xml:space="preserve"> juga berpengaruh </w:t>
      </w:r>
      <w:r w:rsidRPr="00E96936">
        <w:rPr>
          <w:lang w:val="id-ID"/>
        </w:rPr>
        <w:t>negatif</w:t>
      </w:r>
      <w:r w:rsidRPr="00E96936">
        <w:rPr>
          <w:lang w:val="en-GB"/>
        </w:rPr>
        <w:t xml:space="preserve"> dan </w:t>
      </w:r>
      <w:r w:rsidRPr="00E96936">
        <w:rPr>
          <w:lang w:val="id-ID"/>
        </w:rPr>
        <w:t xml:space="preserve">tidak </w:t>
      </w:r>
      <w:r w:rsidRPr="00E96936">
        <w:rPr>
          <w:lang w:val="en-GB"/>
        </w:rPr>
        <w:t>signifikan terhadap harga saham.</w:t>
      </w:r>
    </w:p>
    <w:p w14:paraId="18DC3990" w14:textId="3ADE382B" w:rsidR="00D50067" w:rsidRPr="00E96936" w:rsidRDefault="003B36AC" w:rsidP="00D50067">
      <w:pPr>
        <w:pStyle w:val="Heading3"/>
        <w:numPr>
          <w:ilvl w:val="0"/>
          <w:numId w:val="0"/>
        </w:numPr>
        <w:spacing w:before="0" w:line="240" w:lineRule="auto"/>
        <w:ind w:left="720" w:hanging="720"/>
        <w:rPr>
          <w:b w:val="0"/>
          <w:bCs/>
          <w:sz w:val="20"/>
          <w:szCs w:val="20"/>
        </w:rPr>
      </w:pPr>
      <w:bookmarkStart w:id="8" w:name="_Toc135068224"/>
      <w:bookmarkStart w:id="9" w:name="_Toc136900763"/>
      <w:r>
        <w:rPr>
          <w:b w:val="0"/>
          <w:bCs/>
          <w:sz w:val="20"/>
          <w:szCs w:val="20"/>
        </w:rPr>
        <w:t xml:space="preserve">C.   </w:t>
      </w:r>
      <w:r w:rsidR="00D50067" w:rsidRPr="00E96936">
        <w:rPr>
          <w:b w:val="0"/>
          <w:bCs/>
          <w:sz w:val="20"/>
          <w:szCs w:val="20"/>
          <w:lang w:val="id-ID"/>
        </w:rPr>
        <w:t>ROA</w:t>
      </w:r>
      <w:r w:rsidR="00D50067" w:rsidRPr="00E96936">
        <w:rPr>
          <w:b w:val="0"/>
          <w:bCs/>
          <w:sz w:val="20"/>
          <w:szCs w:val="20"/>
        </w:rPr>
        <w:t xml:space="preserve"> (X1) ROE (X2) Terhadap Harga Saham (Y)</w:t>
      </w:r>
      <w:bookmarkEnd w:id="8"/>
      <w:bookmarkEnd w:id="9"/>
    </w:p>
    <w:p w14:paraId="5398F5BE" w14:textId="77777777" w:rsidR="00D50067" w:rsidRDefault="00D50067" w:rsidP="00D50067">
      <w:pPr>
        <w:autoSpaceDE w:val="0"/>
        <w:autoSpaceDN w:val="0"/>
        <w:adjustRightInd w:val="0"/>
        <w:rPr>
          <w:lang w:val="id-ID"/>
        </w:rPr>
      </w:pPr>
      <w:r w:rsidRPr="00E96936">
        <w:rPr>
          <w:lang w:val="id-ID"/>
        </w:rPr>
        <w:t>ROA dan ROE berpengaruh signifikan terhadap harga saham perbankan dengan nilai koefisien determinasi 0,291 yang berarti bahwa 29,1% dapat dijelaskan oleh kedua variabel independent dan sisanya 100% - 29,1% = 70,9 % dipengaruhi olrh faktor-faktor lain diluar penelitian. Dari hasil analisis regresi dilihat bahwa secara simultan variabel ROA dan ROE (Independen) memiliki pengaruh yang yang signifikkan terhadap variabel Harga Saham (dependen). Hal ini dapat dibuktikan dari hasil nilai Fhitung</w:t>
      </w:r>
      <w:r w:rsidRPr="00E96936">
        <w:t xml:space="preserve"> sebesar 7,580 &gt; 4,098 f tabel, sedangkan sig sebesar 0,002 &lt; 0,05 maka H0 ditolak da Ha diterima, artinya secara simultan variabel </w:t>
      </w:r>
      <w:r w:rsidRPr="00E96936">
        <w:rPr>
          <w:lang w:val="id-ID"/>
        </w:rPr>
        <w:t>ROA</w:t>
      </w:r>
      <w:r w:rsidRPr="00E96936">
        <w:t xml:space="preserve"> dan ROE berpengaruh signifikan terhadap harga saham.</w:t>
      </w:r>
      <w:r w:rsidRPr="00E96936">
        <w:rPr>
          <w:lang w:val="id-ID"/>
        </w:rPr>
        <w:t xml:space="preserve"> Hal ini memberikan indikasi dalam menilai saham yang tercermin dalam harga saham perusahaan perbankan, maka investor dapat menggunakan  kedua rasio ini sebagai analisa kinerja keuangan saham perusahaan perbankan dan sebagai bahan pertimbangan dalam pengambilan keputusan investasi. Investor akan memberikan nilai hasil dari kinerja keuangan perusahaan tersebut sehingga menyebabkan terjadinya perubahan harga saham pada perusahaan perbankan.</w:t>
      </w:r>
    </w:p>
    <w:p w14:paraId="2A93807D" w14:textId="77777777" w:rsidR="00EF1A6A" w:rsidRDefault="00EF1A6A" w:rsidP="00CF3A6F">
      <w:pPr>
        <w:widowControl w:val="0"/>
        <w:autoSpaceDE w:val="0"/>
        <w:spacing w:before="2" w:line="220" w:lineRule="exact"/>
      </w:pPr>
    </w:p>
    <w:p w14:paraId="77B50716" w14:textId="77777777" w:rsidR="00CF3A6F" w:rsidRDefault="00CF3A6F" w:rsidP="00CF3A6F">
      <w:pPr>
        <w:widowControl w:val="0"/>
        <w:autoSpaceDE w:val="0"/>
        <w:ind w:right="-1"/>
        <w:rPr>
          <w:b/>
          <w:bCs/>
          <w:w w:val="104"/>
          <w:lang w:val="fi-FI"/>
        </w:rPr>
      </w:pPr>
      <w:r>
        <w:rPr>
          <w:b/>
          <w:bCs/>
          <w:spacing w:val="1"/>
          <w:w w:val="104"/>
          <w:lang w:val="fi-FI"/>
        </w:rPr>
        <w:t>K</w:t>
      </w:r>
      <w:r>
        <w:rPr>
          <w:b/>
          <w:bCs/>
          <w:spacing w:val="-1"/>
          <w:w w:val="104"/>
          <w:lang w:val="fi-FI"/>
        </w:rPr>
        <w:t>E</w:t>
      </w:r>
      <w:r>
        <w:rPr>
          <w:b/>
          <w:bCs/>
          <w:spacing w:val="2"/>
          <w:w w:val="104"/>
          <w:lang w:val="fi-FI"/>
        </w:rPr>
        <w:t>S</w:t>
      </w:r>
      <w:r>
        <w:rPr>
          <w:b/>
          <w:bCs/>
          <w:spacing w:val="-1"/>
          <w:w w:val="104"/>
          <w:lang w:val="fi-FI"/>
        </w:rPr>
        <w:t>I</w:t>
      </w:r>
      <w:r>
        <w:rPr>
          <w:b/>
          <w:bCs/>
          <w:spacing w:val="1"/>
          <w:w w:val="104"/>
          <w:lang w:val="fi-FI"/>
        </w:rPr>
        <w:t>M</w:t>
      </w:r>
      <w:r>
        <w:rPr>
          <w:b/>
          <w:bCs/>
          <w:spacing w:val="-1"/>
          <w:w w:val="104"/>
          <w:lang w:val="fi-FI"/>
        </w:rPr>
        <w:t>P</w:t>
      </w:r>
      <w:r>
        <w:rPr>
          <w:b/>
          <w:bCs/>
          <w:spacing w:val="2"/>
          <w:w w:val="104"/>
          <w:lang w:val="fi-FI"/>
        </w:rPr>
        <w:t>U</w:t>
      </w:r>
      <w:r>
        <w:rPr>
          <w:b/>
          <w:bCs/>
          <w:spacing w:val="-1"/>
          <w:w w:val="104"/>
          <w:lang w:val="fi-FI"/>
        </w:rPr>
        <w:t>L</w:t>
      </w:r>
      <w:r>
        <w:rPr>
          <w:b/>
          <w:bCs/>
          <w:w w:val="104"/>
          <w:lang w:val="fi-FI"/>
        </w:rPr>
        <w:t>AN</w:t>
      </w:r>
    </w:p>
    <w:p w14:paraId="76DDC25D" w14:textId="77777777" w:rsidR="00747BE8" w:rsidRDefault="00747BE8" w:rsidP="00CF3A6F">
      <w:pPr>
        <w:widowControl w:val="0"/>
        <w:autoSpaceDE w:val="0"/>
        <w:spacing w:line="247" w:lineRule="auto"/>
        <w:ind w:right="-1"/>
        <w:rPr>
          <w:lang w:val="fi-FI"/>
        </w:rPr>
      </w:pPr>
    </w:p>
    <w:p w14:paraId="48E97382" w14:textId="3A285856" w:rsidR="00D50067" w:rsidRPr="00B57B0B" w:rsidRDefault="00176403" w:rsidP="009267CF">
      <w:pPr>
        <w:ind w:firstLine="567"/>
        <w:contextualSpacing/>
      </w:pPr>
      <w:r w:rsidRPr="007D285A">
        <w:rPr>
          <w:szCs w:val="24"/>
        </w:rPr>
        <w:t>Hasil penelitian menunjukkan bahwa v</w:t>
      </w:r>
      <w:r w:rsidR="00D50067" w:rsidRPr="007D285A">
        <w:rPr>
          <w:szCs w:val="24"/>
          <w:lang w:val="id-ID"/>
        </w:rPr>
        <w:t>ariabel ROA</w:t>
      </w:r>
      <w:r w:rsidR="00D50067" w:rsidRPr="007D285A">
        <w:rPr>
          <w:szCs w:val="24"/>
          <w:lang w:val="en-GB"/>
        </w:rPr>
        <w:t xml:space="preserve"> mempunyai pengaruh yang signifikansi terhadap harga saham. Hal ini dapat terlihat pada hasil uji parsial t yang menunjukkan bahwa variabel ROA (X1) sebesar 3,361 &lt; 2,026 t tabel, sementara dengan sig sebesar 0,002 &lt; 0,05, yang berarti H01 ditolak dan Ha2 diterima. Sebaliknya variabel </w:t>
      </w:r>
      <w:r w:rsidR="00D50067" w:rsidRPr="007D285A">
        <w:rPr>
          <w:szCs w:val="24"/>
        </w:rPr>
        <w:t>ROE, ternyata tidak terbukti</w:t>
      </w:r>
      <w:r w:rsidRPr="007D285A">
        <w:rPr>
          <w:szCs w:val="24"/>
        </w:rPr>
        <w:t xml:space="preserve"> </w:t>
      </w:r>
      <w:r w:rsidRPr="007D285A">
        <w:rPr>
          <w:szCs w:val="24"/>
          <w:lang w:val="en-GB"/>
        </w:rPr>
        <w:t>mempunyai pengaruh yang signifikansi terhadap harga saham</w:t>
      </w:r>
      <w:r w:rsidRPr="007D285A">
        <w:rPr>
          <w:szCs w:val="24"/>
        </w:rPr>
        <w:t xml:space="preserve"> </w:t>
      </w:r>
      <w:r w:rsidR="00D50067" w:rsidRPr="007D285A">
        <w:rPr>
          <w:szCs w:val="24"/>
        </w:rPr>
        <w:t>. Hal ini dapat terlihat pada hasil uji parsial t yang</w:t>
      </w:r>
      <w:r w:rsidR="00D50067">
        <w:rPr>
          <w:szCs w:val="24"/>
        </w:rPr>
        <w:t xml:space="preserve"> </w:t>
      </w:r>
      <w:r w:rsidR="00D50067" w:rsidRPr="004D622D">
        <w:rPr>
          <w:szCs w:val="24"/>
        </w:rPr>
        <w:t xml:space="preserve">menunjukkan bahwa variabel ROE sig sebesar 0,173 &gt; 0.05, </w:t>
      </w:r>
      <w:r w:rsidR="00D50067">
        <w:rPr>
          <w:szCs w:val="24"/>
        </w:rPr>
        <w:t>y</w:t>
      </w:r>
      <w:r w:rsidR="00D50067" w:rsidRPr="004D622D">
        <w:rPr>
          <w:szCs w:val="24"/>
        </w:rPr>
        <w:t>ang berarti H0</w:t>
      </w:r>
      <w:r w:rsidR="00D50067">
        <w:rPr>
          <w:szCs w:val="24"/>
        </w:rPr>
        <w:t>1</w:t>
      </w:r>
      <w:r w:rsidR="00D50067" w:rsidRPr="004D622D">
        <w:rPr>
          <w:szCs w:val="24"/>
        </w:rPr>
        <w:t xml:space="preserve"> diterima dan Ha2 ditolak.</w:t>
      </w:r>
      <w:r w:rsidR="00D50067">
        <w:rPr>
          <w:szCs w:val="24"/>
        </w:rPr>
        <w:t xml:space="preserve"> Kemudian untuk membuktikan bahwa variabel </w:t>
      </w:r>
      <w:r w:rsidR="00D50067" w:rsidRPr="004D622D">
        <w:rPr>
          <w:szCs w:val="24"/>
        </w:rPr>
        <w:t xml:space="preserve">ROA dan ROE berpengaruh signifikan secara simultan terhadap </w:t>
      </w:r>
      <w:r w:rsidR="00D50067">
        <w:rPr>
          <w:szCs w:val="24"/>
        </w:rPr>
        <w:t>h</w:t>
      </w:r>
      <w:r w:rsidR="00D50067" w:rsidRPr="004D622D">
        <w:rPr>
          <w:szCs w:val="24"/>
        </w:rPr>
        <w:t xml:space="preserve">arga </w:t>
      </w:r>
      <w:r w:rsidR="00D50067">
        <w:rPr>
          <w:szCs w:val="24"/>
        </w:rPr>
        <w:t>s</w:t>
      </w:r>
      <w:r w:rsidR="00D50067" w:rsidRPr="004D622D">
        <w:rPr>
          <w:szCs w:val="24"/>
        </w:rPr>
        <w:t>aham</w:t>
      </w:r>
      <w:r w:rsidR="00D50067">
        <w:rPr>
          <w:szCs w:val="24"/>
        </w:rPr>
        <w:t xml:space="preserve"> dilakukan uji f yang menunjukkan bahwa </w:t>
      </w:r>
      <w:r w:rsidR="00D50067" w:rsidRPr="004D622D">
        <w:rPr>
          <w:szCs w:val="24"/>
        </w:rPr>
        <w:t>nilai F sebesar 7,580 &gt; 3,32 f tabel, sedangkan sig sebesar 0,002 &lt; 0,05</w:t>
      </w:r>
      <w:r w:rsidR="00D50067">
        <w:rPr>
          <w:szCs w:val="24"/>
        </w:rPr>
        <w:t xml:space="preserve"> maka H0 ditolak da Ha diterima</w:t>
      </w:r>
      <w:r w:rsidR="00D50067">
        <w:rPr>
          <w:szCs w:val="24"/>
          <w:lang w:val="id-ID"/>
        </w:rPr>
        <w:t>,</w:t>
      </w:r>
      <w:r w:rsidR="00D50067" w:rsidRPr="00CA642B">
        <w:rPr>
          <w:szCs w:val="24"/>
        </w:rPr>
        <w:t xml:space="preserve"> </w:t>
      </w:r>
      <w:r w:rsidR="00D50067" w:rsidRPr="004D622D">
        <w:rPr>
          <w:szCs w:val="24"/>
        </w:rPr>
        <w:t xml:space="preserve">artinya secara simultan variabel </w:t>
      </w:r>
      <w:r w:rsidR="00D50067" w:rsidRPr="004D622D">
        <w:rPr>
          <w:szCs w:val="24"/>
          <w:lang w:val="id-ID"/>
        </w:rPr>
        <w:t>ROA</w:t>
      </w:r>
      <w:r w:rsidR="00D50067" w:rsidRPr="004D622D">
        <w:rPr>
          <w:szCs w:val="24"/>
        </w:rPr>
        <w:t xml:space="preserve"> dan ROE berpengaruh signifikan terhadap harga saham.</w:t>
      </w:r>
      <w:r w:rsidR="00D50067">
        <w:rPr>
          <w:szCs w:val="24"/>
        </w:rPr>
        <w:t xml:space="preserve"> </w:t>
      </w:r>
      <w:r w:rsidR="00D50067" w:rsidRPr="004A3177">
        <w:rPr>
          <w:szCs w:val="24"/>
          <w:lang w:val="id-ID"/>
        </w:rPr>
        <w:t xml:space="preserve">Untuk  penelitian selanjutnya dapat memperluas cakupan penelitian dengan menambah periode </w:t>
      </w:r>
      <w:r w:rsidR="00D50067" w:rsidRPr="004A3177">
        <w:rPr>
          <w:szCs w:val="24"/>
          <w:lang w:val="id-ID"/>
        </w:rPr>
        <w:lastRenderedPageBreak/>
        <w:t xml:space="preserve">observasi dan memasukkan variabel fundamental lain  yang  akan memberikan kontribusi </w:t>
      </w:r>
      <w:r w:rsidR="00A651BA" w:rsidRPr="004A3177">
        <w:rPr>
          <w:szCs w:val="24"/>
        </w:rPr>
        <w:t xml:space="preserve">signifikan </w:t>
      </w:r>
      <w:r w:rsidR="00D50067" w:rsidRPr="004A3177">
        <w:rPr>
          <w:szCs w:val="24"/>
          <w:lang w:val="id-ID"/>
        </w:rPr>
        <w:t>untuk memperoleh temuan penelitian yang</w:t>
      </w:r>
      <w:r w:rsidR="00D50067" w:rsidRPr="00712C07">
        <w:rPr>
          <w:szCs w:val="24"/>
          <w:lang w:val="id-ID"/>
        </w:rPr>
        <w:t xml:space="preserve"> lebih komprehensif</w:t>
      </w:r>
      <w:r w:rsidR="00B57B0B">
        <w:rPr>
          <w:szCs w:val="24"/>
        </w:rPr>
        <w:t>.</w:t>
      </w:r>
    </w:p>
    <w:p w14:paraId="39BC4F79" w14:textId="77777777" w:rsidR="00CF3A6F" w:rsidRPr="0061159A" w:rsidRDefault="00CF3A6F" w:rsidP="00CF3A6F">
      <w:pPr>
        <w:widowControl w:val="0"/>
        <w:autoSpaceDE w:val="0"/>
        <w:ind w:right="-1"/>
        <w:rPr>
          <w:bCs/>
          <w:spacing w:val="2"/>
          <w:w w:val="104"/>
          <w:lang w:val="fi-FI"/>
        </w:rPr>
      </w:pPr>
    </w:p>
    <w:p w14:paraId="0841B0F9" w14:textId="77777777" w:rsidR="00CF3A6F" w:rsidRDefault="00CF3A6F" w:rsidP="00CF3A6F">
      <w:pPr>
        <w:widowControl w:val="0"/>
        <w:autoSpaceDE w:val="0"/>
        <w:ind w:right="-1"/>
        <w:rPr>
          <w:b/>
          <w:bCs/>
          <w:w w:val="104"/>
          <w:lang w:val="fi-FI"/>
        </w:rPr>
      </w:pPr>
      <w:r>
        <w:rPr>
          <w:b/>
          <w:bCs/>
          <w:spacing w:val="2"/>
          <w:w w:val="104"/>
          <w:lang w:val="fi-FI"/>
        </w:rPr>
        <w:t>R</w:t>
      </w:r>
      <w:r>
        <w:rPr>
          <w:b/>
          <w:bCs/>
          <w:spacing w:val="1"/>
          <w:w w:val="104"/>
          <w:lang w:val="fi-FI"/>
        </w:rPr>
        <w:t>E</w:t>
      </w:r>
      <w:r>
        <w:rPr>
          <w:b/>
          <w:bCs/>
          <w:spacing w:val="-1"/>
          <w:w w:val="104"/>
          <w:lang w:val="fi-FI"/>
        </w:rPr>
        <w:t>F</w:t>
      </w:r>
      <w:r>
        <w:rPr>
          <w:b/>
          <w:bCs/>
          <w:spacing w:val="1"/>
          <w:w w:val="104"/>
          <w:lang w:val="fi-FI"/>
        </w:rPr>
        <w:t>E</w:t>
      </w:r>
      <w:r>
        <w:rPr>
          <w:b/>
          <w:bCs/>
          <w:w w:val="104"/>
          <w:lang w:val="fi-FI"/>
        </w:rPr>
        <w:t>RE</w:t>
      </w:r>
      <w:r>
        <w:rPr>
          <w:b/>
          <w:bCs/>
          <w:spacing w:val="2"/>
          <w:w w:val="104"/>
          <w:lang w:val="fi-FI"/>
        </w:rPr>
        <w:t>N</w:t>
      </w:r>
      <w:r>
        <w:rPr>
          <w:b/>
          <w:bCs/>
          <w:w w:val="104"/>
          <w:lang w:val="fi-FI"/>
        </w:rPr>
        <w:t>SI</w:t>
      </w:r>
    </w:p>
    <w:p w14:paraId="5B2EF608" w14:textId="77777777" w:rsidR="00CE4358" w:rsidRDefault="00CE4358" w:rsidP="00CF3A6F">
      <w:pPr>
        <w:widowControl w:val="0"/>
        <w:autoSpaceDE w:val="0"/>
        <w:spacing w:before="19" w:line="200" w:lineRule="exact"/>
        <w:rPr>
          <w:lang w:val="fi-FI"/>
        </w:rPr>
      </w:pPr>
    </w:p>
    <w:p w14:paraId="4E3EB9BF" w14:textId="77777777" w:rsidR="00D50067" w:rsidRPr="00712C07" w:rsidRDefault="00D50067" w:rsidP="00D50067">
      <w:pPr>
        <w:widowControl w:val="0"/>
        <w:autoSpaceDE w:val="0"/>
        <w:autoSpaceDN w:val="0"/>
        <w:adjustRightInd w:val="0"/>
        <w:ind w:left="480" w:hanging="480"/>
        <w:rPr>
          <w:noProof/>
        </w:rPr>
      </w:pPr>
      <w:r w:rsidRPr="00712C07">
        <w:rPr>
          <w:lang w:val="id-ID"/>
        </w:rPr>
        <w:fldChar w:fldCharType="begin" w:fldLock="1"/>
      </w:r>
      <w:r w:rsidRPr="00712C07">
        <w:rPr>
          <w:lang w:val="id-ID"/>
        </w:rPr>
        <w:instrText xml:space="preserve">ADDIN Mendeley Bibliography CSL_BIBLIOGRAPHY </w:instrText>
      </w:r>
      <w:r w:rsidRPr="00712C07">
        <w:rPr>
          <w:lang w:val="id-ID"/>
        </w:rPr>
        <w:fldChar w:fldCharType="separate"/>
      </w:r>
      <w:r w:rsidRPr="00712C07">
        <w:rPr>
          <w:noProof/>
        </w:rPr>
        <w:t xml:space="preserve">Adnyana, I. M. (2020). </w:t>
      </w:r>
      <w:r w:rsidRPr="00712C07">
        <w:rPr>
          <w:i/>
          <w:iCs/>
          <w:noProof/>
        </w:rPr>
        <w:t>Buku: Manajemen Investasi Dan Portofolio</w:t>
      </w:r>
      <w:r w:rsidRPr="00712C07">
        <w:rPr>
          <w:noProof/>
        </w:rPr>
        <w:t>. Lembaga Penerbitan Universitas Nasional (LPU-UNAS).</w:t>
      </w:r>
    </w:p>
    <w:p w14:paraId="5768AE4D"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Anggoro, C. tri, &amp; Wijono, D. (2022). Pengaruh Disiplin Kerja, Motivasi Kerja, Dan Lingkungan Kerja Terhadap Kinerja Pegawai. </w:t>
      </w:r>
      <w:r w:rsidRPr="00712C07">
        <w:rPr>
          <w:i/>
          <w:iCs/>
          <w:noProof/>
        </w:rPr>
        <w:t>Jurnal Ekonomi, Manajemen, Bisnis Dan Akuntansi</w:t>
      </w:r>
      <w:r w:rsidRPr="00712C07">
        <w:rPr>
          <w:noProof/>
        </w:rPr>
        <w:t xml:space="preserve">, </w:t>
      </w:r>
      <w:r w:rsidRPr="00712C07">
        <w:rPr>
          <w:i/>
          <w:iCs/>
          <w:noProof/>
        </w:rPr>
        <w:t>1</w:t>
      </w:r>
      <w:r w:rsidRPr="00712C07">
        <w:rPr>
          <w:noProof/>
        </w:rPr>
        <w:t>(1), 59–70.</w:t>
      </w:r>
    </w:p>
    <w:p w14:paraId="65F3989C"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Aryaningsih, Y. N., &amp; Fathoni, A. (2018). Pengaruh Return on Asset (ROA), Return on Equity (ROE) dan Earning per Share (EPS) terhadap Return Saham pada Perusahaan Consumer Good (Food and Beverages) yang Terdaftar di Bursa Efek Indonesia (BEI) Periode 2013-2016. </w:t>
      </w:r>
      <w:r w:rsidRPr="00712C07">
        <w:rPr>
          <w:i/>
          <w:iCs/>
          <w:noProof/>
        </w:rPr>
        <w:t>Journal of Management</w:t>
      </w:r>
      <w:r w:rsidRPr="00712C07">
        <w:rPr>
          <w:noProof/>
        </w:rPr>
        <w:t xml:space="preserve">, </w:t>
      </w:r>
      <w:r w:rsidRPr="00712C07">
        <w:rPr>
          <w:i/>
          <w:iCs/>
          <w:noProof/>
        </w:rPr>
        <w:t>4</w:t>
      </w:r>
      <w:r w:rsidRPr="00712C07">
        <w:rPr>
          <w:noProof/>
        </w:rPr>
        <w:t>(4). https://doi.org/2502-7689</w:t>
      </w:r>
    </w:p>
    <w:p w14:paraId="4D32944E"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Asiah, N., &amp; Mulyani, Y. (2020). Pengaruh Laba Akuntansi dan Arus Kas Operasi Terhadap Harga Saham. </w:t>
      </w:r>
      <w:r w:rsidRPr="00712C07">
        <w:rPr>
          <w:i/>
          <w:iCs/>
          <w:noProof/>
        </w:rPr>
        <w:t>Jurnal Akuntansi Bisnis Pelita Bangsa</w:t>
      </w:r>
      <w:r w:rsidRPr="00712C07">
        <w:rPr>
          <w:noProof/>
        </w:rPr>
        <w:t xml:space="preserve">, </w:t>
      </w:r>
      <w:r w:rsidRPr="00712C07">
        <w:rPr>
          <w:i/>
          <w:iCs/>
          <w:noProof/>
        </w:rPr>
        <w:t>5</w:t>
      </w:r>
      <w:r w:rsidRPr="00712C07">
        <w:rPr>
          <w:noProof/>
        </w:rPr>
        <w:t>(01), 43–62.</w:t>
      </w:r>
    </w:p>
    <w:p w14:paraId="287042F0"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Bandawaty, E., &amp; Nurfitria, I. P. (2022). Pengaruh Profitabilitas Terhadap Harga Saham. </w:t>
      </w:r>
      <w:r w:rsidRPr="00712C07">
        <w:rPr>
          <w:i/>
          <w:iCs/>
          <w:noProof/>
        </w:rPr>
        <w:t>Jurnal : Kinerja</w:t>
      </w:r>
      <w:r w:rsidRPr="00712C07">
        <w:rPr>
          <w:noProof/>
        </w:rPr>
        <w:t xml:space="preserve">, </w:t>
      </w:r>
      <w:r w:rsidRPr="00712C07">
        <w:rPr>
          <w:i/>
          <w:iCs/>
          <w:noProof/>
        </w:rPr>
        <w:t>5</w:t>
      </w:r>
      <w:r w:rsidRPr="00712C07">
        <w:rPr>
          <w:noProof/>
        </w:rPr>
        <w:t>(01), 174–188.</w:t>
      </w:r>
    </w:p>
    <w:p w14:paraId="75C4B96A"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Budiman, R. (2018). </w:t>
      </w:r>
      <w:r w:rsidRPr="00712C07">
        <w:rPr>
          <w:i/>
          <w:iCs/>
          <w:noProof/>
        </w:rPr>
        <w:t>Buku : Rahasia Analisis Fundamental Saham</w:t>
      </w:r>
      <w:r w:rsidRPr="00712C07">
        <w:rPr>
          <w:noProof/>
        </w:rPr>
        <w:t>. Elex Media Komputindo. https://books.google.co.id/books?id=tP17DwAAQBAJ</w:t>
      </w:r>
    </w:p>
    <w:p w14:paraId="170A1B9C"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Edriani, T. S., Rahmadani, A., &amp; Noor, D. M. M. (2021). Analisis Hubungan Kepadatan Penduduk dengan Pola Penyebaran COVID-19 Provinsi DKI Jakarta menggunakan Regresi Robust. </w:t>
      </w:r>
      <w:r w:rsidRPr="00712C07">
        <w:rPr>
          <w:i/>
          <w:iCs/>
          <w:noProof/>
        </w:rPr>
        <w:t>Indonesian Journal of Applied Mathematics</w:t>
      </w:r>
      <w:r w:rsidRPr="00712C07">
        <w:rPr>
          <w:noProof/>
        </w:rPr>
        <w:t xml:space="preserve">, </w:t>
      </w:r>
      <w:r w:rsidRPr="00712C07">
        <w:rPr>
          <w:i/>
          <w:iCs/>
          <w:noProof/>
        </w:rPr>
        <w:t>1</w:t>
      </w:r>
      <w:r w:rsidRPr="00712C07">
        <w:rPr>
          <w:noProof/>
        </w:rPr>
        <w:t>(2), 51–60.</w:t>
      </w:r>
    </w:p>
    <w:p w14:paraId="79D1EC23"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Ghozali, I. (2017). Pengaruh Penghindaran Pajak dan Biaya Agensi Terhadap Nilai Perusahaan. </w:t>
      </w:r>
      <w:r w:rsidRPr="00712C07">
        <w:rPr>
          <w:i/>
          <w:iCs/>
          <w:noProof/>
        </w:rPr>
        <w:t>Diponegoro Journal of Accounting</w:t>
      </w:r>
      <w:r w:rsidRPr="00712C07">
        <w:rPr>
          <w:noProof/>
        </w:rPr>
        <w:t xml:space="preserve">, </w:t>
      </w:r>
      <w:r w:rsidRPr="00712C07">
        <w:rPr>
          <w:i/>
          <w:iCs/>
          <w:noProof/>
        </w:rPr>
        <w:t>6</w:t>
      </w:r>
      <w:r w:rsidRPr="00712C07">
        <w:rPr>
          <w:noProof/>
        </w:rPr>
        <w:t>(3), 1–12.</w:t>
      </w:r>
    </w:p>
    <w:p w14:paraId="055CEAF6"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Handini, S., &amp; Astawinetu, E. D. (2020). </w:t>
      </w:r>
      <w:r w:rsidRPr="00712C07">
        <w:rPr>
          <w:i/>
          <w:iCs/>
          <w:noProof/>
        </w:rPr>
        <w:t>Buku : Teori Portofolio Dan Pasar Modal Indonesia</w:t>
      </w:r>
      <w:r w:rsidRPr="00712C07">
        <w:rPr>
          <w:noProof/>
        </w:rPr>
        <w:t>. Scopindo Media Pustaka. https://books.google.co.id/books?id=6Wb-DwAAQBAJ</w:t>
      </w:r>
    </w:p>
    <w:p w14:paraId="58AE96BD"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Hasballah, I. (2022). Analisis Pengaruh Return On Assets (ROA), Return On Equity (ROE), Price Earning Ratio (PER) Terhadap Harga Saham Pada Perbankan yang Terdaftar di Bursa Efek Indonesia (Periode 2011-2014) Ibrahim Jurnal al-mizan: jurnal hukum islam dan ekonomi syariah issn. </w:t>
      </w:r>
      <w:r w:rsidRPr="00712C07">
        <w:rPr>
          <w:i/>
          <w:iCs/>
          <w:noProof/>
        </w:rPr>
        <w:t>Jurnal Hukum Islam Dan Ekonomi Syariah Issn: 2354-6468 (p); 2807-7695 (E)</w:t>
      </w:r>
      <w:r w:rsidRPr="00712C07">
        <w:rPr>
          <w:noProof/>
        </w:rPr>
        <w:t xml:space="preserve">, </w:t>
      </w:r>
      <w:r w:rsidRPr="00712C07">
        <w:rPr>
          <w:i/>
          <w:iCs/>
          <w:noProof/>
        </w:rPr>
        <w:t>6468</w:t>
      </w:r>
      <w:r w:rsidRPr="00712C07">
        <w:rPr>
          <w:noProof/>
        </w:rPr>
        <w:t>, 9–12.</w:t>
      </w:r>
    </w:p>
    <w:p w14:paraId="3CD9B36B"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Herawati, H. (2019). Pentingnya Laporan Keuangan Untuk Menilai Kinerja Keuangan Perusahaan. </w:t>
      </w:r>
      <w:r w:rsidRPr="00712C07">
        <w:rPr>
          <w:i/>
          <w:iCs/>
          <w:noProof/>
        </w:rPr>
        <w:t>Jurnal Akuntansi Unihaz - JAZ</w:t>
      </w:r>
      <w:r w:rsidRPr="00712C07">
        <w:rPr>
          <w:noProof/>
        </w:rPr>
        <w:t xml:space="preserve">, </w:t>
      </w:r>
      <w:r w:rsidRPr="00712C07">
        <w:rPr>
          <w:i/>
          <w:iCs/>
          <w:noProof/>
        </w:rPr>
        <w:t>2</w:t>
      </w:r>
      <w:r w:rsidRPr="00712C07">
        <w:rPr>
          <w:noProof/>
        </w:rPr>
        <w:t>(1), 16–25.</w:t>
      </w:r>
    </w:p>
    <w:p w14:paraId="06C4D2C9"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Hery, H. (2021). </w:t>
      </w:r>
      <w:r w:rsidRPr="00712C07">
        <w:rPr>
          <w:i/>
          <w:iCs/>
          <w:noProof/>
        </w:rPr>
        <w:t>Buku : Analisis Laporan Keuangan-Integrated And Comprehensive</w:t>
      </w:r>
      <w:r w:rsidRPr="00712C07">
        <w:rPr>
          <w:noProof/>
        </w:rPr>
        <w:t>. Gramedia</w:t>
      </w:r>
      <w:r w:rsidRPr="00712C07">
        <w:rPr>
          <w:noProof/>
          <w:lang w:val="id-ID"/>
        </w:rPr>
        <w:t> </w:t>
      </w:r>
      <w:r w:rsidRPr="00712C07">
        <w:rPr>
          <w:noProof/>
        </w:rPr>
        <w:t>Widiasarana</w:t>
      </w:r>
      <w:r w:rsidRPr="00712C07">
        <w:rPr>
          <w:noProof/>
          <w:lang w:val="id-ID"/>
        </w:rPr>
        <w:t> </w:t>
      </w:r>
      <w:r w:rsidRPr="00712C07">
        <w:rPr>
          <w:noProof/>
        </w:rPr>
        <w:t>Indonesia.</w:t>
      </w:r>
      <w:r w:rsidRPr="00712C07">
        <w:rPr>
          <w:noProof/>
          <w:lang w:val="id-ID"/>
        </w:rPr>
        <w:t> </w:t>
      </w:r>
      <w:r w:rsidRPr="00712C07">
        <w:rPr>
          <w:noProof/>
        </w:rPr>
        <w:t>https://books.google.co.id/books?id=cFkjEAAAQBAJ</w:t>
      </w:r>
    </w:p>
    <w:p w14:paraId="47D7245D"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Hidayati, T. (2020). </w:t>
      </w:r>
      <w:r w:rsidRPr="00712C07">
        <w:rPr>
          <w:i/>
          <w:iCs/>
          <w:noProof/>
        </w:rPr>
        <w:t>Buku : Statistika Dasar Panduan Bagi Dosen dan Mahasiswa</w:t>
      </w:r>
      <w:r w:rsidRPr="00712C07">
        <w:rPr>
          <w:noProof/>
        </w:rPr>
        <w:t>. Thesis Commons.</w:t>
      </w:r>
    </w:p>
    <w:p w14:paraId="239AD83B"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Junaidi, J., &amp; Cipta, W. (2021). Pengaruh Return on Asset dan Return on Equity serta Net Profit Margin terhadap Harga Saham Indeks Lq45 di Bursa Efek Indonesia. </w:t>
      </w:r>
      <w:r w:rsidRPr="00712C07">
        <w:rPr>
          <w:i/>
          <w:iCs/>
          <w:noProof/>
        </w:rPr>
        <w:t>Jurnal Ilmiah Akuntansi Dan Humanika</w:t>
      </w:r>
      <w:r w:rsidRPr="00712C07">
        <w:rPr>
          <w:noProof/>
        </w:rPr>
        <w:t xml:space="preserve">, </w:t>
      </w:r>
      <w:r w:rsidRPr="00712C07">
        <w:rPr>
          <w:i/>
          <w:iCs/>
          <w:noProof/>
        </w:rPr>
        <w:t>11</w:t>
      </w:r>
      <w:r w:rsidRPr="00712C07">
        <w:rPr>
          <w:noProof/>
        </w:rPr>
        <w:t>(2), 189–198.</w:t>
      </w:r>
    </w:p>
    <w:p w14:paraId="06661E1D"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Komang, N. S. A., &amp; Cipta, W. (2019). Pengaruh Roa Dan Roe Serta Eps Terhadap Harga Saham Sektor Farmasi Yang Terdaftar Di Bei. </w:t>
      </w:r>
      <w:r w:rsidRPr="00712C07">
        <w:rPr>
          <w:i/>
          <w:iCs/>
          <w:noProof/>
        </w:rPr>
        <w:t>Jurnal Manajemen</w:t>
      </w:r>
      <w:r w:rsidRPr="00712C07">
        <w:rPr>
          <w:noProof/>
        </w:rPr>
        <w:t xml:space="preserve">, </w:t>
      </w:r>
      <w:r w:rsidRPr="00712C07">
        <w:rPr>
          <w:i/>
          <w:iCs/>
          <w:noProof/>
        </w:rPr>
        <w:t>5</w:t>
      </w:r>
      <w:r w:rsidRPr="00712C07">
        <w:rPr>
          <w:noProof/>
        </w:rPr>
        <w:t>(2), 148–157.</w:t>
      </w:r>
    </w:p>
    <w:p w14:paraId="169DE760"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Kurnia, D. (2019). Pengaruh Profitabilitas, Kebijakan Dividen dan Harga Saham Terhadap Nilai Perusahaan Pada Perusahaan Manufaktur di Provinsi Banten yang Terdaftar di Bursa Efek Indonesia periode 2009-2016. </w:t>
      </w:r>
      <w:r w:rsidRPr="00712C07">
        <w:rPr>
          <w:i/>
          <w:iCs/>
          <w:noProof/>
        </w:rPr>
        <w:t>Jurnal Akuntansi : Kajian Ilmiah Akuntansi (JAK)</w:t>
      </w:r>
      <w:r w:rsidRPr="00712C07">
        <w:rPr>
          <w:noProof/>
        </w:rPr>
        <w:t xml:space="preserve">, </w:t>
      </w:r>
      <w:r w:rsidRPr="00712C07">
        <w:rPr>
          <w:i/>
          <w:iCs/>
          <w:noProof/>
        </w:rPr>
        <w:t>6</w:t>
      </w:r>
      <w:r w:rsidRPr="00712C07">
        <w:rPr>
          <w:noProof/>
        </w:rPr>
        <w:t>(2), 178. https://doi.org/10.30656/jak.v6i2.1433</w:t>
      </w:r>
    </w:p>
    <w:p w14:paraId="42C20120"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Musa, A. A., &amp; Nurman, M. I. (2022). Pengaruh liabilitas ekuitas dan ukuran perusahaan terhadap profitabilitas. </w:t>
      </w:r>
      <w:r w:rsidRPr="00712C07">
        <w:rPr>
          <w:i/>
          <w:iCs/>
          <w:noProof/>
        </w:rPr>
        <w:t>Jurnal Ilmiah Multidisiplin Indonesia</w:t>
      </w:r>
      <w:r w:rsidRPr="00712C07">
        <w:rPr>
          <w:noProof/>
        </w:rPr>
        <w:t xml:space="preserve">, </w:t>
      </w:r>
      <w:r w:rsidRPr="00712C07">
        <w:rPr>
          <w:i/>
          <w:iCs/>
          <w:noProof/>
        </w:rPr>
        <w:t>1</w:t>
      </w:r>
      <w:r w:rsidRPr="00712C07">
        <w:rPr>
          <w:noProof/>
        </w:rPr>
        <w:t>(7), 523–534.</w:t>
      </w:r>
    </w:p>
    <w:p w14:paraId="27B20BC2"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Natsir, S. R. (2019). Pengaruh Return On Assets (ROA), Return On Equity (ROE) dan Price Earning Ratio (PER) Terhadap Harga Saham Pada Perusahaan Perbankan yang Terdaftar di Bursa Efek Indonesia (Periode 2011-2014). </w:t>
      </w:r>
      <w:r w:rsidRPr="00712C07">
        <w:rPr>
          <w:i/>
          <w:iCs/>
          <w:noProof/>
        </w:rPr>
        <w:t>Journal of Chemical Information and Modeling</w:t>
      </w:r>
      <w:r w:rsidRPr="00712C07">
        <w:rPr>
          <w:noProof/>
        </w:rPr>
        <w:t xml:space="preserve">, </w:t>
      </w:r>
      <w:r w:rsidRPr="00712C07">
        <w:rPr>
          <w:i/>
          <w:iCs/>
          <w:noProof/>
        </w:rPr>
        <w:t>53</w:t>
      </w:r>
      <w:r w:rsidRPr="00712C07">
        <w:rPr>
          <w:noProof/>
        </w:rPr>
        <w:t>(9), 1–105. file:///C:/Users/User/Downloads/fvm939e.pdf</w:t>
      </w:r>
    </w:p>
    <w:p w14:paraId="7479D0DD"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Nurlia, N., &amp; Juwari, J. (2019). Pengaruh Return On Asset, Return On Equity, Earning Per Share Dan Current Ratio Terhadap Harga Saham Pada Perusahaan Sub Sektor Otomotif Dan Komponen Yang Terdaftar Di Bursa Efek Indonesia. </w:t>
      </w:r>
      <w:r w:rsidRPr="00712C07">
        <w:rPr>
          <w:i/>
          <w:iCs/>
          <w:noProof/>
        </w:rPr>
        <w:t>Jurnal Geo Ekonomi</w:t>
      </w:r>
      <w:r w:rsidRPr="00712C07">
        <w:rPr>
          <w:noProof/>
        </w:rPr>
        <w:t xml:space="preserve">, </w:t>
      </w:r>
      <w:r w:rsidRPr="00712C07">
        <w:rPr>
          <w:i/>
          <w:iCs/>
          <w:noProof/>
        </w:rPr>
        <w:t>10</w:t>
      </w:r>
      <w:r w:rsidRPr="00712C07">
        <w:rPr>
          <w:noProof/>
        </w:rPr>
        <w:t>(1), 57–73.</w:t>
      </w:r>
    </w:p>
    <w:p w14:paraId="004EA1C1"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Putri, N. K., &amp; Septianti, D. (2020). Pengaruh Return on Assets Return on Equity Debt To Equity Ratio Dan Book Value Per Share Terhadap Harga Saham. </w:t>
      </w:r>
      <w:r w:rsidRPr="00712C07">
        <w:rPr>
          <w:i/>
          <w:iCs/>
          <w:noProof/>
        </w:rPr>
        <w:t>Jurnal Akuntansi Dan Bisnis</w:t>
      </w:r>
      <w:r w:rsidRPr="00712C07">
        <w:rPr>
          <w:noProof/>
        </w:rPr>
        <w:t xml:space="preserve">, </w:t>
      </w:r>
      <w:r w:rsidRPr="00712C07">
        <w:rPr>
          <w:i/>
          <w:iCs/>
          <w:noProof/>
        </w:rPr>
        <w:t>5</w:t>
      </w:r>
      <w:r w:rsidRPr="00712C07">
        <w:rPr>
          <w:noProof/>
        </w:rPr>
        <w:t>(2), 145–155.</w:t>
      </w:r>
    </w:p>
    <w:p w14:paraId="63A01924"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Sari, A. R., &amp; Prijanto, B. (2022). </w:t>
      </w:r>
      <w:r w:rsidRPr="00712C07">
        <w:rPr>
          <w:i/>
          <w:iCs/>
          <w:noProof/>
        </w:rPr>
        <w:t>Buku Hubungan Haukalitas: Etika Profesi, Etika Manajerial, dan Elemen Modal Intelektual dengan Kualitas Audit</w:t>
      </w:r>
      <w:r w:rsidRPr="00712C07">
        <w:rPr>
          <w:noProof/>
        </w:rPr>
        <w:t>. Feniks Muda Sejahtera. https://books.google.co.id/books?id=doNaEAAAQBAJ</w:t>
      </w:r>
    </w:p>
    <w:p w14:paraId="0FF1647B" w14:textId="77777777" w:rsidR="00D50067" w:rsidRPr="00712C07" w:rsidRDefault="00D50067" w:rsidP="00D50067">
      <w:pPr>
        <w:widowControl w:val="0"/>
        <w:autoSpaceDE w:val="0"/>
        <w:autoSpaceDN w:val="0"/>
        <w:adjustRightInd w:val="0"/>
        <w:ind w:left="480" w:hanging="480"/>
        <w:rPr>
          <w:noProof/>
        </w:rPr>
      </w:pPr>
      <w:r w:rsidRPr="00712C07">
        <w:rPr>
          <w:noProof/>
        </w:rPr>
        <w:t xml:space="preserve">Soebiantoro, U. (2021). </w:t>
      </w:r>
      <w:r w:rsidRPr="00712C07">
        <w:rPr>
          <w:i/>
          <w:iCs/>
          <w:noProof/>
        </w:rPr>
        <w:t>Perdagangan Saham Yang Paling Moncer Dalam Masa Pandemi Covid 19</w:t>
      </w:r>
      <w:r w:rsidRPr="00712C07">
        <w:rPr>
          <w:noProof/>
        </w:rPr>
        <w:t>. 48–56.</w:t>
      </w:r>
    </w:p>
    <w:p w14:paraId="3AA881D9" w14:textId="77777777" w:rsidR="00D50067" w:rsidRPr="00455E6F" w:rsidRDefault="00D50067" w:rsidP="00D50067">
      <w:pPr>
        <w:widowControl w:val="0"/>
        <w:autoSpaceDE w:val="0"/>
        <w:autoSpaceDN w:val="0"/>
        <w:adjustRightInd w:val="0"/>
        <w:ind w:left="480" w:hanging="480"/>
        <w:rPr>
          <w:noProof/>
        </w:rPr>
      </w:pPr>
      <w:r w:rsidRPr="00712C07">
        <w:rPr>
          <w:noProof/>
        </w:rPr>
        <w:t xml:space="preserve">Sondakh, P., Saerang, I., &amp; Samadi, R. (2019). Pengaruh Struktur Modal (ROA, ROE DAN DER) TerhadapNilai Perusahaan (PBV) Pada </w:t>
      </w:r>
      <w:r w:rsidRPr="00455E6F">
        <w:rPr>
          <w:noProof/>
        </w:rPr>
        <w:t xml:space="preserve">Perusahaan Sektor Properti Yang Terdaftar Di BEI (Periode 2013-2016). </w:t>
      </w:r>
      <w:r w:rsidRPr="00455E6F">
        <w:rPr>
          <w:i/>
          <w:iCs/>
          <w:noProof/>
        </w:rPr>
        <w:t xml:space="preserve">Jurnal Riset </w:t>
      </w:r>
      <w:r w:rsidRPr="00455E6F">
        <w:rPr>
          <w:i/>
          <w:iCs/>
          <w:noProof/>
        </w:rPr>
        <w:lastRenderedPageBreak/>
        <w:t>Ekonomi, Manajemen, Bisnis Dan Akuntansi</w:t>
      </w:r>
      <w:r w:rsidRPr="00455E6F">
        <w:rPr>
          <w:noProof/>
        </w:rPr>
        <w:t xml:space="preserve">, </w:t>
      </w:r>
      <w:r w:rsidRPr="00455E6F">
        <w:rPr>
          <w:i/>
          <w:iCs/>
          <w:noProof/>
        </w:rPr>
        <w:t>7</w:t>
      </w:r>
      <w:r w:rsidRPr="00455E6F">
        <w:rPr>
          <w:noProof/>
        </w:rPr>
        <w:t>(3), 3079–3088.</w:t>
      </w:r>
    </w:p>
    <w:p w14:paraId="6D8A4064" w14:textId="77777777" w:rsidR="00D50067" w:rsidRPr="00455E6F" w:rsidRDefault="00D50067" w:rsidP="00D50067">
      <w:pPr>
        <w:widowControl w:val="0"/>
        <w:autoSpaceDE w:val="0"/>
        <w:autoSpaceDN w:val="0"/>
        <w:adjustRightInd w:val="0"/>
        <w:ind w:left="480" w:hanging="480"/>
        <w:rPr>
          <w:noProof/>
        </w:rPr>
      </w:pPr>
      <w:r w:rsidRPr="00455E6F">
        <w:rPr>
          <w:noProof/>
        </w:rPr>
        <w:t xml:space="preserve">Suryaman, A. H., &amp; Hindriari, R. (2021). Pengaruh Earning Per Share (Eps) Dan Price Earning Ratio (Per) Terhadap Harga Saham Pada Pt Bumi Serpong Damai Tbk Periode 2011 – 2020. </w:t>
      </w:r>
      <w:r w:rsidRPr="00455E6F">
        <w:rPr>
          <w:i/>
          <w:iCs/>
          <w:noProof/>
        </w:rPr>
        <w:t>Jurnal Neraca Peradaban</w:t>
      </w:r>
      <w:r w:rsidRPr="00455E6F">
        <w:rPr>
          <w:noProof/>
        </w:rPr>
        <w:t xml:space="preserve">, </w:t>
      </w:r>
      <w:r w:rsidRPr="00455E6F">
        <w:rPr>
          <w:i/>
          <w:iCs/>
          <w:noProof/>
        </w:rPr>
        <w:t>1</w:t>
      </w:r>
      <w:r w:rsidRPr="00455E6F">
        <w:rPr>
          <w:noProof/>
        </w:rPr>
        <w:t>(3), 199–204. https://doi.org/10.55182/jnp.v1i3.58</w:t>
      </w:r>
    </w:p>
    <w:p w14:paraId="6BD51F02" w14:textId="320BBF67" w:rsidR="00D50067" w:rsidRDefault="00D50067" w:rsidP="00D50067">
      <w:pPr>
        <w:widowControl w:val="0"/>
        <w:autoSpaceDE w:val="0"/>
        <w:autoSpaceDN w:val="0"/>
        <w:adjustRightInd w:val="0"/>
        <w:ind w:left="480" w:hanging="480"/>
        <w:rPr>
          <w:noProof/>
        </w:rPr>
      </w:pPr>
      <w:r w:rsidRPr="00455E6F">
        <w:rPr>
          <w:noProof/>
        </w:rPr>
        <w:t xml:space="preserve">Susanti, W., Kesuma, I. M., &amp; Maya, W. (2021). Pengaruh Return On Asset, Return On Equity, Net Profit Margin. </w:t>
      </w:r>
      <w:r w:rsidRPr="00455E6F">
        <w:rPr>
          <w:i/>
          <w:iCs/>
          <w:noProof/>
        </w:rPr>
        <w:t>Journal Ekombis Review</w:t>
      </w:r>
      <w:r w:rsidRPr="00455E6F">
        <w:rPr>
          <w:noProof/>
        </w:rPr>
        <w:t xml:space="preserve">, </w:t>
      </w:r>
      <w:r w:rsidRPr="00455E6F">
        <w:rPr>
          <w:i/>
          <w:iCs/>
          <w:noProof/>
        </w:rPr>
        <w:t>9</w:t>
      </w:r>
      <w:r w:rsidRPr="00455E6F">
        <w:rPr>
          <w:noProof/>
        </w:rPr>
        <w:t>(2),171–182.</w:t>
      </w:r>
      <w:r w:rsidR="006C3920">
        <w:rPr>
          <w:noProof/>
        </w:rPr>
        <w:t xml:space="preserve"> </w:t>
      </w:r>
      <w:r w:rsidRPr="00455E6F">
        <w:rPr>
          <w:noProof/>
        </w:rPr>
        <w:t>https://jurnal.unived.ac.id/index.php/er/indexDOI:https://doi.org/10.37676/ekombis.v9i2.1325</w:t>
      </w:r>
    </w:p>
    <w:p w14:paraId="718052C2" w14:textId="77777777" w:rsidR="005D12E5" w:rsidRDefault="005D12E5" w:rsidP="00D50067">
      <w:pPr>
        <w:widowControl w:val="0"/>
        <w:autoSpaceDE w:val="0"/>
        <w:autoSpaceDN w:val="0"/>
        <w:adjustRightInd w:val="0"/>
        <w:ind w:left="480" w:hanging="480"/>
        <w:rPr>
          <w:noProof/>
        </w:rPr>
      </w:pPr>
    </w:p>
    <w:p w14:paraId="3E5208F5" w14:textId="77777777" w:rsidR="005D12E5" w:rsidRDefault="005D12E5" w:rsidP="00D50067">
      <w:pPr>
        <w:widowControl w:val="0"/>
        <w:autoSpaceDE w:val="0"/>
        <w:autoSpaceDN w:val="0"/>
        <w:adjustRightInd w:val="0"/>
        <w:ind w:left="480" w:hanging="480"/>
        <w:rPr>
          <w:noProof/>
        </w:rPr>
      </w:pPr>
    </w:p>
    <w:p w14:paraId="4F295944" w14:textId="77777777" w:rsidR="005D12E5" w:rsidRDefault="005D12E5" w:rsidP="00D50067">
      <w:pPr>
        <w:widowControl w:val="0"/>
        <w:autoSpaceDE w:val="0"/>
        <w:autoSpaceDN w:val="0"/>
        <w:adjustRightInd w:val="0"/>
        <w:ind w:left="480" w:hanging="480"/>
        <w:rPr>
          <w:noProof/>
        </w:rPr>
      </w:pPr>
    </w:p>
    <w:p w14:paraId="76D13F01" w14:textId="77777777" w:rsidR="005D12E5" w:rsidRDefault="005D12E5" w:rsidP="00D50067">
      <w:pPr>
        <w:widowControl w:val="0"/>
        <w:autoSpaceDE w:val="0"/>
        <w:autoSpaceDN w:val="0"/>
        <w:adjustRightInd w:val="0"/>
        <w:ind w:left="480" w:hanging="480"/>
        <w:rPr>
          <w:noProof/>
        </w:rPr>
      </w:pPr>
    </w:p>
    <w:p w14:paraId="292CE1E1" w14:textId="77777777" w:rsidR="005D12E5" w:rsidRDefault="005D12E5" w:rsidP="00D50067">
      <w:pPr>
        <w:widowControl w:val="0"/>
        <w:autoSpaceDE w:val="0"/>
        <w:autoSpaceDN w:val="0"/>
        <w:adjustRightInd w:val="0"/>
        <w:ind w:left="480" w:hanging="480"/>
        <w:rPr>
          <w:noProof/>
        </w:rPr>
      </w:pPr>
    </w:p>
    <w:p w14:paraId="38918516" w14:textId="77777777" w:rsidR="005D12E5" w:rsidRDefault="005D12E5" w:rsidP="00D50067">
      <w:pPr>
        <w:widowControl w:val="0"/>
        <w:autoSpaceDE w:val="0"/>
        <w:autoSpaceDN w:val="0"/>
        <w:adjustRightInd w:val="0"/>
        <w:ind w:left="480" w:hanging="480"/>
        <w:rPr>
          <w:noProof/>
        </w:rPr>
      </w:pPr>
    </w:p>
    <w:p w14:paraId="69E67BF4" w14:textId="77777777" w:rsidR="005D12E5" w:rsidRDefault="005D12E5" w:rsidP="00D50067">
      <w:pPr>
        <w:widowControl w:val="0"/>
        <w:autoSpaceDE w:val="0"/>
        <w:autoSpaceDN w:val="0"/>
        <w:adjustRightInd w:val="0"/>
        <w:ind w:left="480" w:hanging="480"/>
        <w:rPr>
          <w:noProof/>
        </w:rPr>
      </w:pPr>
    </w:p>
    <w:p w14:paraId="69D5C457" w14:textId="77777777" w:rsidR="005D12E5" w:rsidRDefault="005D12E5" w:rsidP="00D50067">
      <w:pPr>
        <w:widowControl w:val="0"/>
        <w:autoSpaceDE w:val="0"/>
        <w:autoSpaceDN w:val="0"/>
        <w:adjustRightInd w:val="0"/>
        <w:ind w:left="480" w:hanging="480"/>
        <w:rPr>
          <w:noProof/>
        </w:rPr>
      </w:pPr>
    </w:p>
    <w:p w14:paraId="73578FD9" w14:textId="77777777" w:rsidR="005D12E5" w:rsidRDefault="005D12E5" w:rsidP="00D50067">
      <w:pPr>
        <w:widowControl w:val="0"/>
        <w:autoSpaceDE w:val="0"/>
        <w:autoSpaceDN w:val="0"/>
        <w:adjustRightInd w:val="0"/>
        <w:ind w:left="480" w:hanging="480"/>
        <w:rPr>
          <w:noProof/>
        </w:rPr>
      </w:pPr>
    </w:p>
    <w:p w14:paraId="20BEED92" w14:textId="77777777" w:rsidR="005D12E5" w:rsidRDefault="005D12E5" w:rsidP="00D50067">
      <w:pPr>
        <w:widowControl w:val="0"/>
        <w:autoSpaceDE w:val="0"/>
        <w:autoSpaceDN w:val="0"/>
        <w:adjustRightInd w:val="0"/>
        <w:ind w:left="480" w:hanging="480"/>
        <w:rPr>
          <w:noProof/>
        </w:rPr>
      </w:pPr>
    </w:p>
    <w:p w14:paraId="16D71AA3" w14:textId="77777777" w:rsidR="005D12E5" w:rsidRDefault="005D12E5" w:rsidP="00D50067">
      <w:pPr>
        <w:widowControl w:val="0"/>
        <w:autoSpaceDE w:val="0"/>
        <w:autoSpaceDN w:val="0"/>
        <w:adjustRightInd w:val="0"/>
        <w:ind w:left="480" w:hanging="480"/>
        <w:rPr>
          <w:noProof/>
        </w:rPr>
      </w:pPr>
    </w:p>
    <w:p w14:paraId="202E22CF" w14:textId="77777777" w:rsidR="005D12E5" w:rsidRDefault="005D12E5" w:rsidP="00D50067">
      <w:pPr>
        <w:widowControl w:val="0"/>
        <w:autoSpaceDE w:val="0"/>
        <w:autoSpaceDN w:val="0"/>
        <w:adjustRightInd w:val="0"/>
        <w:ind w:left="480" w:hanging="480"/>
        <w:rPr>
          <w:noProof/>
        </w:rPr>
      </w:pPr>
    </w:p>
    <w:p w14:paraId="293DE1ED" w14:textId="77777777" w:rsidR="005D12E5" w:rsidRDefault="005D12E5" w:rsidP="00D50067">
      <w:pPr>
        <w:widowControl w:val="0"/>
        <w:autoSpaceDE w:val="0"/>
        <w:autoSpaceDN w:val="0"/>
        <w:adjustRightInd w:val="0"/>
        <w:ind w:left="480" w:hanging="480"/>
        <w:rPr>
          <w:noProof/>
        </w:rPr>
      </w:pPr>
    </w:p>
    <w:p w14:paraId="1671BB53" w14:textId="77777777" w:rsidR="005D12E5" w:rsidRDefault="005D12E5" w:rsidP="00D50067">
      <w:pPr>
        <w:widowControl w:val="0"/>
        <w:autoSpaceDE w:val="0"/>
        <w:autoSpaceDN w:val="0"/>
        <w:adjustRightInd w:val="0"/>
        <w:ind w:left="480" w:hanging="480"/>
        <w:rPr>
          <w:noProof/>
        </w:rPr>
      </w:pPr>
    </w:p>
    <w:p w14:paraId="498B9F65" w14:textId="77777777" w:rsidR="005D12E5" w:rsidRDefault="005D12E5" w:rsidP="00D50067">
      <w:pPr>
        <w:widowControl w:val="0"/>
        <w:autoSpaceDE w:val="0"/>
        <w:autoSpaceDN w:val="0"/>
        <w:adjustRightInd w:val="0"/>
        <w:ind w:left="480" w:hanging="480"/>
        <w:rPr>
          <w:noProof/>
        </w:rPr>
      </w:pPr>
    </w:p>
    <w:p w14:paraId="0DD68BAE" w14:textId="77777777" w:rsidR="005D12E5" w:rsidRDefault="005D12E5" w:rsidP="00D50067">
      <w:pPr>
        <w:widowControl w:val="0"/>
        <w:autoSpaceDE w:val="0"/>
        <w:autoSpaceDN w:val="0"/>
        <w:adjustRightInd w:val="0"/>
        <w:ind w:left="480" w:hanging="480"/>
        <w:rPr>
          <w:noProof/>
        </w:rPr>
      </w:pPr>
    </w:p>
    <w:p w14:paraId="3048E765" w14:textId="77777777" w:rsidR="005D12E5" w:rsidRDefault="005D12E5" w:rsidP="00D50067">
      <w:pPr>
        <w:widowControl w:val="0"/>
        <w:autoSpaceDE w:val="0"/>
        <w:autoSpaceDN w:val="0"/>
        <w:adjustRightInd w:val="0"/>
        <w:ind w:left="480" w:hanging="480"/>
        <w:rPr>
          <w:noProof/>
        </w:rPr>
      </w:pPr>
    </w:p>
    <w:p w14:paraId="30486068" w14:textId="77777777" w:rsidR="005D12E5" w:rsidRDefault="005D12E5" w:rsidP="00D50067">
      <w:pPr>
        <w:widowControl w:val="0"/>
        <w:autoSpaceDE w:val="0"/>
        <w:autoSpaceDN w:val="0"/>
        <w:adjustRightInd w:val="0"/>
        <w:ind w:left="480" w:hanging="480"/>
        <w:rPr>
          <w:noProof/>
        </w:rPr>
      </w:pPr>
    </w:p>
    <w:p w14:paraId="24335D9C" w14:textId="77777777" w:rsidR="005D12E5" w:rsidRDefault="005D12E5" w:rsidP="00D50067">
      <w:pPr>
        <w:widowControl w:val="0"/>
        <w:autoSpaceDE w:val="0"/>
        <w:autoSpaceDN w:val="0"/>
        <w:adjustRightInd w:val="0"/>
        <w:ind w:left="480" w:hanging="480"/>
        <w:rPr>
          <w:noProof/>
        </w:rPr>
      </w:pPr>
    </w:p>
    <w:p w14:paraId="0EC67999" w14:textId="77777777" w:rsidR="005D12E5" w:rsidRDefault="005D12E5" w:rsidP="00D50067">
      <w:pPr>
        <w:widowControl w:val="0"/>
        <w:autoSpaceDE w:val="0"/>
        <w:autoSpaceDN w:val="0"/>
        <w:adjustRightInd w:val="0"/>
        <w:ind w:left="480" w:hanging="480"/>
        <w:rPr>
          <w:noProof/>
        </w:rPr>
      </w:pPr>
    </w:p>
    <w:p w14:paraId="2AD0FAF3" w14:textId="77777777" w:rsidR="005D12E5" w:rsidRDefault="005D12E5" w:rsidP="00D50067">
      <w:pPr>
        <w:widowControl w:val="0"/>
        <w:autoSpaceDE w:val="0"/>
        <w:autoSpaceDN w:val="0"/>
        <w:adjustRightInd w:val="0"/>
        <w:ind w:left="480" w:hanging="480"/>
        <w:rPr>
          <w:noProof/>
        </w:rPr>
      </w:pPr>
    </w:p>
    <w:p w14:paraId="344E8144" w14:textId="77777777" w:rsidR="005D12E5" w:rsidRDefault="005D12E5" w:rsidP="00D50067">
      <w:pPr>
        <w:widowControl w:val="0"/>
        <w:autoSpaceDE w:val="0"/>
        <w:autoSpaceDN w:val="0"/>
        <w:adjustRightInd w:val="0"/>
        <w:ind w:left="480" w:hanging="480"/>
        <w:rPr>
          <w:noProof/>
        </w:rPr>
      </w:pPr>
    </w:p>
    <w:p w14:paraId="246C4AB4" w14:textId="77777777" w:rsidR="005D12E5" w:rsidRDefault="005D12E5" w:rsidP="00D50067">
      <w:pPr>
        <w:widowControl w:val="0"/>
        <w:autoSpaceDE w:val="0"/>
        <w:autoSpaceDN w:val="0"/>
        <w:adjustRightInd w:val="0"/>
        <w:ind w:left="480" w:hanging="480"/>
        <w:rPr>
          <w:noProof/>
        </w:rPr>
      </w:pPr>
    </w:p>
    <w:p w14:paraId="21540375" w14:textId="77777777" w:rsidR="005D12E5" w:rsidRDefault="005D12E5" w:rsidP="00D50067">
      <w:pPr>
        <w:widowControl w:val="0"/>
        <w:autoSpaceDE w:val="0"/>
        <w:autoSpaceDN w:val="0"/>
        <w:adjustRightInd w:val="0"/>
        <w:ind w:left="480" w:hanging="480"/>
        <w:rPr>
          <w:noProof/>
        </w:rPr>
      </w:pPr>
    </w:p>
    <w:p w14:paraId="605C7602" w14:textId="77777777" w:rsidR="005D12E5" w:rsidRDefault="005D12E5" w:rsidP="00D50067">
      <w:pPr>
        <w:widowControl w:val="0"/>
        <w:autoSpaceDE w:val="0"/>
        <w:autoSpaceDN w:val="0"/>
        <w:adjustRightInd w:val="0"/>
        <w:ind w:left="480" w:hanging="480"/>
        <w:rPr>
          <w:noProof/>
        </w:rPr>
      </w:pPr>
    </w:p>
    <w:p w14:paraId="5BDBD6F6" w14:textId="77777777" w:rsidR="005D12E5" w:rsidRDefault="005D12E5" w:rsidP="00D50067">
      <w:pPr>
        <w:widowControl w:val="0"/>
        <w:autoSpaceDE w:val="0"/>
        <w:autoSpaceDN w:val="0"/>
        <w:adjustRightInd w:val="0"/>
        <w:ind w:left="480" w:hanging="480"/>
        <w:rPr>
          <w:noProof/>
        </w:rPr>
      </w:pPr>
    </w:p>
    <w:p w14:paraId="776DDB50" w14:textId="77777777" w:rsidR="005D12E5" w:rsidRDefault="005D12E5" w:rsidP="00D50067">
      <w:pPr>
        <w:widowControl w:val="0"/>
        <w:autoSpaceDE w:val="0"/>
        <w:autoSpaceDN w:val="0"/>
        <w:adjustRightInd w:val="0"/>
        <w:ind w:left="480" w:hanging="480"/>
        <w:rPr>
          <w:noProof/>
        </w:rPr>
      </w:pPr>
    </w:p>
    <w:p w14:paraId="6F244D60" w14:textId="77777777" w:rsidR="005D12E5" w:rsidRDefault="005D12E5" w:rsidP="00D50067">
      <w:pPr>
        <w:widowControl w:val="0"/>
        <w:autoSpaceDE w:val="0"/>
        <w:autoSpaceDN w:val="0"/>
        <w:adjustRightInd w:val="0"/>
        <w:ind w:left="480" w:hanging="480"/>
        <w:rPr>
          <w:noProof/>
        </w:rPr>
      </w:pPr>
    </w:p>
    <w:p w14:paraId="07FFDDBD" w14:textId="77777777" w:rsidR="005D12E5" w:rsidRDefault="005D12E5" w:rsidP="00D50067">
      <w:pPr>
        <w:widowControl w:val="0"/>
        <w:autoSpaceDE w:val="0"/>
        <w:autoSpaceDN w:val="0"/>
        <w:adjustRightInd w:val="0"/>
        <w:ind w:left="480" w:hanging="480"/>
        <w:rPr>
          <w:noProof/>
        </w:rPr>
      </w:pPr>
    </w:p>
    <w:p w14:paraId="2046EAC3" w14:textId="77777777" w:rsidR="005D12E5" w:rsidRDefault="005D12E5" w:rsidP="00D50067">
      <w:pPr>
        <w:widowControl w:val="0"/>
        <w:autoSpaceDE w:val="0"/>
        <w:autoSpaceDN w:val="0"/>
        <w:adjustRightInd w:val="0"/>
        <w:ind w:left="480" w:hanging="480"/>
        <w:rPr>
          <w:noProof/>
        </w:rPr>
      </w:pPr>
    </w:p>
    <w:p w14:paraId="7B722398" w14:textId="77777777" w:rsidR="005D12E5" w:rsidRDefault="005D12E5" w:rsidP="00D50067">
      <w:pPr>
        <w:widowControl w:val="0"/>
        <w:autoSpaceDE w:val="0"/>
        <w:autoSpaceDN w:val="0"/>
        <w:adjustRightInd w:val="0"/>
        <w:ind w:left="480" w:hanging="480"/>
        <w:rPr>
          <w:noProof/>
        </w:rPr>
      </w:pPr>
    </w:p>
    <w:p w14:paraId="12B65705" w14:textId="77777777" w:rsidR="005D12E5" w:rsidRDefault="005D12E5" w:rsidP="00D50067">
      <w:pPr>
        <w:widowControl w:val="0"/>
        <w:autoSpaceDE w:val="0"/>
        <w:autoSpaceDN w:val="0"/>
        <w:adjustRightInd w:val="0"/>
        <w:ind w:left="480" w:hanging="480"/>
        <w:rPr>
          <w:noProof/>
        </w:rPr>
      </w:pPr>
    </w:p>
    <w:p w14:paraId="2943A475" w14:textId="77777777" w:rsidR="005D12E5" w:rsidRDefault="005D12E5" w:rsidP="00D50067">
      <w:pPr>
        <w:widowControl w:val="0"/>
        <w:autoSpaceDE w:val="0"/>
        <w:autoSpaceDN w:val="0"/>
        <w:adjustRightInd w:val="0"/>
        <w:ind w:left="480" w:hanging="480"/>
        <w:rPr>
          <w:noProof/>
        </w:rPr>
      </w:pPr>
    </w:p>
    <w:p w14:paraId="2A079DD5" w14:textId="77777777" w:rsidR="005D12E5" w:rsidRDefault="005D12E5" w:rsidP="00D50067">
      <w:pPr>
        <w:widowControl w:val="0"/>
        <w:autoSpaceDE w:val="0"/>
        <w:autoSpaceDN w:val="0"/>
        <w:adjustRightInd w:val="0"/>
        <w:ind w:left="480" w:hanging="480"/>
        <w:rPr>
          <w:noProof/>
        </w:rPr>
      </w:pPr>
    </w:p>
    <w:p w14:paraId="5E832E28" w14:textId="77777777" w:rsidR="005D12E5" w:rsidRDefault="005D12E5" w:rsidP="00D50067">
      <w:pPr>
        <w:widowControl w:val="0"/>
        <w:autoSpaceDE w:val="0"/>
        <w:autoSpaceDN w:val="0"/>
        <w:adjustRightInd w:val="0"/>
        <w:ind w:left="480" w:hanging="480"/>
        <w:rPr>
          <w:noProof/>
        </w:rPr>
      </w:pPr>
    </w:p>
    <w:p w14:paraId="1EF858A1" w14:textId="77777777" w:rsidR="005D12E5" w:rsidRDefault="005D12E5" w:rsidP="00D50067">
      <w:pPr>
        <w:widowControl w:val="0"/>
        <w:autoSpaceDE w:val="0"/>
        <w:autoSpaceDN w:val="0"/>
        <w:adjustRightInd w:val="0"/>
        <w:ind w:left="480" w:hanging="480"/>
        <w:rPr>
          <w:noProof/>
        </w:rPr>
      </w:pPr>
    </w:p>
    <w:p w14:paraId="44A248D2" w14:textId="77777777" w:rsidR="005D12E5" w:rsidRDefault="005D12E5" w:rsidP="00D50067">
      <w:pPr>
        <w:widowControl w:val="0"/>
        <w:autoSpaceDE w:val="0"/>
        <w:autoSpaceDN w:val="0"/>
        <w:adjustRightInd w:val="0"/>
        <w:ind w:left="480" w:hanging="480"/>
        <w:rPr>
          <w:noProof/>
        </w:rPr>
      </w:pPr>
    </w:p>
    <w:p w14:paraId="77B0C3C1" w14:textId="77777777" w:rsidR="005D12E5" w:rsidRDefault="005D12E5" w:rsidP="00D50067">
      <w:pPr>
        <w:widowControl w:val="0"/>
        <w:autoSpaceDE w:val="0"/>
        <w:autoSpaceDN w:val="0"/>
        <w:adjustRightInd w:val="0"/>
        <w:ind w:left="480" w:hanging="480"/>
        <w:rPr>
          <w:noProof/>
        </w:rPr>
      </w:pPr>
    </w:p>
    <w:p w14:paraId="275E4025" w14:textId="77777777" w:rsidR="005D12E5" w:rsidRDefault="005D12E5" w:rsidP="00D50067">
      <w:pPr>
        <w:widowControl w:val="0"/>
        <w:autoSpaceDE w:val="0"/>
        <w:autoSpaceDN w:val="0"/>
        <w:adjustRightInd w:val="0"/>
        <w:ind w:left="480" w:hanging="480"/>
        <w:rPr>
          <w:noProof/>
        </w:rPr>
      </w:pPr>
    </w:p>
    <w:p w14:paraId="67F0C4C0" w14:textId="77777777" w:rsidR="005D12E5" w:rsidRDefault="005D12E5" w:rsidP="00D50067">
      <w:pPr>
        <w:widowControl w:val="0"/>
        <w:autoSpaceDE w:val="0"/>
        <w:autoSpaceDN w:val="0"/>
        <w:adjustRightInd w:val="0"/>
        <w:ind w:left="480" w:hanging="480"/>
        <w:rPr>
          <w:noProof/>
        </w:rPr>
      </w:pPr>
    </w:p>
    <w:p w14:paraId="448DC07F" w14:textId="77777777" w:rsidR="005D12E5" w:rsidRDefault="005D12E5" w:rsidP="00D50067">
      <w:pPr>
        <w:widowControl w:val="0"/>
        <w:autoSpaceDE w:val="0"/>
        <w:autoSpaceDN w:val="0"/>
        <w:adjustRightInd w:val="0"/>
        <w:ind w:left="480" w:hanging="480"/>
        <w:rPr>
          <w:noProof/>
        </w:rPr>
      </w:pPr>
    </w:p>
    <w:p w14:paraId="69027EF8" w14:textId="77777777" w:rsidR="005D12E5" w:rsidRDefault="005D12E5" w:rsidP="00D50067">
      <w:pPr>
        <w:widowControl w:val="0"/>
        <w:autoSpaceDE w:val="0"/>
        <w:autoSpaceDN w:val="0"/>
        <w:adjustRightInd w:val="0"/>
        <w:ind w:left="480" w:hanging="480"/>
        <w:rPr>
          <w:noProof/>
        </w:rPr>
      </w:pPr>
    </w:p>
    <w:p w14:paraId="35A5FD8A" w14:textId="77777777" w:rsidR="005D12E5" w:rsidRDefault="005D12E5" w:rsidP="00D50067">
      <w:pPr>
        <w:widowControl w:val="0"/>
        <w:autoSpaceDE w:val="0"/>
        <w:autoSpaceDN w:val="0"/>
        <w:adjustRightInd w:val="0"/>
        <w:ind w:left="480" w:hanging="480"/>
        <w:rPr>
          <w:noProof/>
        </w:rPr>
      </w:pPr>
    </w:p>
    <w:p w14:paraId="5CE604E1" w14:textId="77777777" w:rsidR="005D12E5" w:rsidRDefault="005D12E5" w:rsidP="00D50067">
      <w:pPr>
        <w:widowControl w:val="0"/>
        <w:autoSpaceDE w:val="0"/>
        <w:autoSpaceDN w:val="0"/>
        <w:adjustRightInd w:val="0"/>
        <w:ind w:left="480" w:hanging="480"/>
        <w:rPr>
          <w:noProof/>
        </w:rPr>
      </w:pPr>
    </w:p>
    <w:p w14:paraId="5ACFC83A" w14:textId="77777777" w:rsidR="005D12E5" w:rsidRPr="00455E6F" w:rsidRDefault="005D12E5" w:rsidP="00D50067">
      <w:pPr>
        <w:widowControl w:val="0"/>
        <w:autoSpaceDE w:val="0"/>
        <w:autoSpaceDN w:val="0"/>
        <w:adjustRightInd w:val="0"/>
        <w:ind w:left="480" w:hanging="480"/>
        <w:rPr>
          <w:noProof/>
        </w:rPr>
      </w:pPr>
    </w:p>
    <w:p w14:paraId="570C21D7" w14:textId="54A4B185" w:rsidR="006A68DC" w:rsidRPr="00455E6F" w:rsidRDefault="006A68DC" w:rsidP="00D50067">
      <w:pPr>
        <w:widowControl w:val="0"/>
        <w:autoSpaceDE w:val="0"/>
        <w:autoSpaceDN w:val="0"/>
        <w:adjustRightInd w:val="0"/>
        <w:ind w:left="480" w:hanging="480"/>
        <w:rPr>
          <w:noProof/>
        </w:rPr>
      </w:pPr>
      <w:r w:rsidRPr="00455E6F">
        <w:rPr>
          <w:noProof/>
        </w:rPr>
        <w:t>Sugiyono.(2019). Merode Penelitian Kuantitatif. Bandung:Alfabeta</w:t>
      </w:r>
    </w:p>
    <w:p w14:paraId="6A13721B" w14:textId="77777777" w:rsidR="00D50067" w:rsidRPr="00455E6F" w:rsidRDefault="00D50067" w:rsidP="00D50067">
      <w:pPr>
        <w:widowControl w:val="0"/>
        <w:autoSpaceDE w:val="0"/>
        <w:autoSpaceDN w:val="0"/>
        <w:adjustRightInd w:val="0"/>
        <w:ind w:left="480" w:hanging="480"/>
        <w:rPr>
          <w:noProof/>
        </w:rPr>
      </w:pPr>
      <w:r w:rsidRPr="00455E6F">
        <w:rPr>
          <w:noProof/>
        </w:rPr>
        <w:t xml:space="preserve">Tahir, Y. A., Djuwarsa, T., &amp; Mayasari, I. (2021). Pengaruh ROA, ROE, dan EPS terhadap Harga Saham Bank Umum Kelompok BUKU 4. </w:t>
      </w:r>
      <w:r w:rsidRPr="00455E6F">
        <w:rPr>
          <w:i/>
          <w:iCs/>
          <w:noProof/>
        </w:rPr>
        <w:t>Indonesian Journal of Economics and Management</w:t>
      </w:r>
      <w:r w:rsidRPr="00455E6F">
        <w:rPr>
          <w:noProof/>
        </w:rPr>
        <w:t xml:space="preserve">, </w:t>
      </w:r>
      <w:r w:rsidRPr="00455E6F">
        <w:rPr>
          <w:i/>
          <w:iCs/>
          <w:noProof/>
        </w:rPr>
        <w:t>1</w:t>
      </w:r>
      <w:r w:rsidRPr="00455E6F">
        <w:rPr>
          <w:noProof/>
        </w:rPr>
        <w:t>(3), 544–560. https://doi.org/10.35313/ijem.v1i3.3018</w:t>
      </w:r>
    </w:p>
    <w:p w14:paraId="070D62AF" w14:textId="77777777" w:rsidR="00D50067" w:rsidRPr="00455E6F" w:rsidRDefault="00D50067" w:rsidP="00D50067">
      <w:pPr>
        <w:widowControl w:val="0"/>
        <w:autoSpaceDE w:val="0"/>
        <w:autoSpaceDN w:val="0"/>
        <w:adjustRightInd w:val="0"/>
        <w:ind w:left="480" w:hanging="480"/>
        <w:rPr>
          <w:noProof/>
        </w:rPr>
      </w:pPr>
      <w:r w:rsidRPr="00455E6F">
        <w:rPr>
          <w:noProof/>
        </w:rPr>
        <w:t xml:space="preserve">Waskito, M., &amp; Faizah, S. (2021). </w:t>
      </w:r>
      <w:r w:rsidRPr="00455E6F">
        <w:rPr>
          <w:i/>
          <w:iCs/>
          <w:noProof/>
        </w:rPr>
        <w:t>Pengaruh Return On Equity (ROE) Dan Pertumbuhan</w:t>
      </w:r>
      <w:r w:rsidRPr="00455E6F">
        <w:rPr>
          <w:noProof/>
        </w:rPr>
        <w:t xml:space="preserve">. </w:t>
      </w:r>
      <w:r w:rsidRPr="00455E6F">
        <w:rPr>
          <w:i/>
          <w:iCs/>
          <w:noProof/>
        </w:rPr>
        <w:t>3</w:t>
      </w:r>
      <w:r w:rsidRPr="00455E6F">
        <w:rPr>
          <w:noProof/>
        </w:rPr>
        <w:t>(1), 30–43.</w:t>
      </w:r>
    </w:p>
    <w:p w14:paraId="278F8421" w14:textId="77777777" w:rsidR="00D50067" w:rsidRPr="00712C07" w:rsidRDefault="00D50067" w:rsidP="00D50067">
      <w:pPr>
        <w:widowControl w:val="0"/>
        <w:autoSpaceDE w:val="0"/>
        <w:autoSpaceDN w:val="0"/>
        <w:adjustRightInd w:val="0"/>
        <w:ind w:left="480" w:hanging="480"/>
        <w:rPr>
          <w:noProof/>
        </w:rPr>
      </w:pPr>
      <w:r w:rsidRPr="00455E6F">
        <w:rPr>
          <w:noProof/>
        </w:rPr>
        <w:t xml:space="preserve">Zulfikar. (2016). </w:t>
      </w:r>
      <w:r w:rsidRPr="00455E6F">
        <w:rPr>
          <w:i/>
          <w:iCs/>
          <w:noProof/>
        </w:rPr>
        <w:t>Buku : Pengantar Pasar Modal dengan Pendekatan Statistika</w:t>
      </w:r>
      <w:r w:rsidRPr="00455E6F">
        <w:rPr>
          <w:noProof/>
        </w:rPr>
        <w:t>. Deepublish. https://books.google.co.id/books?id=vpeEDwAAQBAJ</w:t>
      </w:r>
    </w:p>
    <w:p w14:paraId="5BB3A267" w14:textId="47CCB470" w:rsidR="00A07AC6" w:rsidRDefault="00D50067" w:rsidP="00D50067">
      <w:pPr>
        <w:widowControl w:val="0"/>
        <w:autoSpaceDE w:val="0"/>
        <w:spacing w:before="19" w:line="200" w:lineRule="exact"/>
      </w:pPr>
      <w:r w:rsidRPr="00712C07">
        <w:rPr>
          <w:lang w:val="id-ID"/>
        </w:rPr>
        <w:fldChar w:fldCharType="end"/>
      </w:r>
    </w:p>
    <w:sectPr w:rsidR="00A07AC6" w:rsidSect="00D50067">
      <w:footnotePr>
        <w:numRestart w:val="eachPage"/>
      </w:footnotePr>
      <w:type w:val="continuous"/>
      <w:pgSz w:w="11907" w:h="16839" w:code="9"/>
      <w:pgMar w:top="1701" w:right="1134" w:bottom="1134" w:left="1701" w:header="720" w:footer="720"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2D86" w14:textId="77777777" w:rsidR="001B6A64" w:rsidRDefault="001B6A64" w:rsidP="00CF3A6F">
      <w:r>
        <w:separator/>
      </w:r>
    </w:p>
  </w:endnote>
  <w:endnote w:type="continuationSeparator" w:id="0">
    <w:p w14:paraId="724B763D" w14:textId="77777777" w:rsidR="001B6A64" w:rsidRDefault="001B6A64" w:rsidP="00CF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7C23" w14:textId="77777777" w:rsidR="006A68DC" w:rsidRDefault="006A68DC">
    <w:pPr>
      <w:framePr w:wrap="around" w:vAnchor="text" w:hAnchor="margin" w:xAlign="right" w:y="1"/>
    </w:pPr>
  </w:p>
  <w:p w14:paraId="3F622CA5" w14:textId="77777777" w:rsidR="006A68DC" w:rsidRPr="00B33493" w:rsidRDefault="006A68DC" w:rsidP="006A68DC">
    <w:pPr>
      <w:pStyle w:val="Footer"/>
      <w:pBdr>
        <w:top w:val="single" w:sz="4" w:space="1" w:color="auto"/>
      </w:pBdr>
      <w:tabs>
        <w:tab w:val="clear" w:pos="4680"/>
        <w:tab w:val="clear" w:pos="9360"/>
        <w:tab w:val="right" w:pos="9072"/>
      </w:tabs>
      <w:rPr>
        <w:lang w:val="id-ID"/>
      </w:rPr>
    </w:pPr>
    <w:r w:rsidRPr="000B5046">
      <w:fldChar w:fldCharType="begin"/>
    </w:r>
    <w:r w:rsidRPr="000B5046">
      <w:instrText xml:space="preserve"> PAGE   \* MERGEFORMAT </w:instrText>
    </w:r>
    <w:r w:rsidRPr="000B5046">
      <w:fldChar w:fldCharType="separate"/>
    </w:r>
    <w:r>
      <w:rPr>
        <w:noProof/>
      </w:rPr>
      <w:t>2</w:t>
    </w:r>
    <w:r w:rsidRPr="000B5046">
      <w:fldChar w:fldCharType="end"/>
    </w:r>
    <w:r>
      <w:t xml:space="preserve"> </w:t>
    </w:r>
    <w:r>
      <w:tab/>
      <w:t>Judul Artikel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C28F" w14:textId="67A99D2B" w:rsidR="006A68DC" w:rsidRPr="00C77C9E" w:rsidRDefault="006A68DC" w:rsidP="00C77C9E">
    <w:pPr>
      <w:pStyle w:val="Footer"/>
      <w:pBdr>
        <w:top w:val="single" w:sz="4" w:space="1" w:color="auto"/>
      </w:pBdr>
      <w:tabs>
        <w:tab w:val="clear" w:pos="4680"/>
        <w:tab w:val="clear" w:pos="9360"/>
        <w:tab w:val="left" w:pos="0"/>
        <w:tab w:val="right" w:pos="9072"/>
      </w:tabs>
      <w:jc w:val="right"/>
      <w:rPr>
        <w:sz w:val="18"/>
      </w:rPr>
    </w:pPr>
    <w:r w:rsidRPr="0007445D">
      <w:t>http://ejournal.bsi.ac.id/ej</w:t>
    </w:r>
    <w:r>
      <w:t>urnal/index.php/perspektif</w:t>
    </w:r>
    <w:r>
      <w:rPr>
        <w:szCs w:val="24"/>
      </w:rPr>
      <w:tab/>
    </w:r>
    <w:r w:rsidRPr="00CB7465">
      <w:rPr>
        <w:szCs w:val="24"/>
      </w:rPr>
      <w:fldChar w:fldCharType="begin"/>
    </w:r>
    <w:r w:rsidRPr="00CB7465">
      <w:rPr>
        <w:szCs w:val="24"/>
      </w:rPr>
      <w:instrText xml:space="preserve"> PAGE   \* MERGEFORMAT </w:instrText>
    </w:r>
    <w:r w:rsidRPr="00CB7465">
      <w:rPr>
        <w:szCs w:val="24"/>
      </w:rPr>
      <w:fldChar w:fldCharType="separate"/>
    </w:r>
    <w:r>
      <w:rPr>
        <w:noProof/>
        <w:szCs w:val="24"/>
      </w:rPr>
      <w:t>7</w:t>
    </w:r>
    <w:r w:rsidRPr="00CB7465">
      <w:rPr>
        <w:szCs w:val="24"/>
      </w:rPr>
      <w:fldChar w:fldCharType="end"/>
    </w:r>
    <w:r w:rsidRPr="00CB7465">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98BA" w14:textId="797A1A6C" w:rsidR="006A68DC" w:rsidRPr="00CB7465" w:rsidRDefault="006A68DC" w:rsidP="002A2510">
    <w:pPr>
      <w:pStyle w:val="Footer"/>
      <w:pBdr>
        <w:top w:val="single" w:sz="4" w:space="1" w:color="auto"/>
      </w:pBdr>
      <w:tabs>
        <w:tab w:val="clear" w:pos="4680"/>
        <w:tab w:val="clear" w:pos="9360"/>
        <w:tab w:val="left" w:pos="0"/>
        <w:tab w:val="right" w:pos="9072"/>
      </w:tabs>
      <w:jc w:val="right"/>
      <w:rPr>
        <w:sz w:val="18"/>
      </w:rPr>
    </w:pPr>
    <w:r w:rsidRPr="0007445D">
      <w:t>http://ejournal.bsi.ac.id/ej</w:t>
    </w:r>
    <w:r>
      <w:t>urnal/index.php/perspektif</w:t>
    </w:r>
    <w:r>
      <w:rPr>
        <w:szCs w:val="24"/>
      </w:rPr>
      <w:tab/>
    </w:r>
    <w:r w:rsidRPr="00CB7465">
      <w:rPr>
        <w:szCs w:val="24"/>
      </w:rPr>
      <w:fldChar w:fldCharType="begin"/>
    </w:r>
    <w:r w:rsidRPr="00CB7465">
      <w:rPr>
        <w:szCs w:val="24"/>
      </w:rPr>
      <w:instrText xml:space="preserve"> PAGE   \* MERGEFORMAT </w:instrText>
    </w:r>
    <w:r w:rsidRPr="00CB7465">
      <w:rPr>
        <w:szCs w:val="24"/>
      </w:rPr>
      <w:fldChar w:fldCharType="separate"/>
    </w:r>
    <w:r>
      <w:rPr>
        <w:noProof/>
        <w:szCs w:val="24"/>
      </w:rPr>
      <w:t>1</w:t>
    </w:r>
    <w:r w:rsidRPr="00CB7465">
      <w:rPr>
        <w:szCs w:val="24"/>
      </w:rPr>
      <w:fldChar w:fldCharType="end"/>
    </w:r>
    <w:r w:rsidRPr="00CB7465">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0BED" w14:textId="77777777" w:rsidR="001B6A64" w:rsidRDefault="001B6A64" w:rsidP="00CF3A6F">
      <w:r>
        <w:separator/>
      </w:r>
    </w:p>
  </w:footnote>
  <w:footnote w:type="continuationSeparator" w:id="0">
    <w:p w14:paraId="472389DE" w14:textId="77777777" w:rsidR="001B6A64" w:rsidRDefault="001B6A64" w:rsidP="00CF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E684" w14:textId="77777777" w:rsidR="006A68DC" w:rsidRPr="00697D1B" w:rsidRDefault="006A68DC" w:rsidP="00B27765">
    <w:pPr>
      <w:jc w:val="left"/>
      <w:rPr>
        <w:color w:val="000000" w:themeColor="text1"/>
      </w:rPr>
    </w:pPr>
    <w:r>
      <w:rPr>
        <w:color w:val="000000" w:themeColor="text1"/>
      </w:rPr>
      <w:t>Widya Cipta, Volume 3 No. 2 September 2019</w:t>
    </w:r>
  </w:p>
  <w:p w14:paraId="75F8346F" w14:textId="77777777" w:rsidR="006A68DC" w:rsidRPr="00B27765" w:rsidRDefault="006A68DC" w:rsidP="00B27765">
    <w:pPr>
      <w:pBdr>
        <w:bottom w:val="single" w:sz="4" w:space="1" w:color="auto"/>
      </w:pBdr>
      <w:jc w:val="left"/>
      <w:rPr>
        <w:color w:val="000000" w:themeColor="text1"/>
        <w:shd w:val="clear" w:color="auto" w:fill="FFFFFF"/>
      </w:rPr>
    </w:pPr>
    <w:r w:rsidRPr="00697D1B">
      <w:rPr>
        <w:color w:val="000000" w:themeColor="text1"/>
      </w:rPr>
      <w:t xml:space="preserve">P-ISSN </w:t>
    </w:r>
    <w:r w:rsidRPr="00697D1B">
      <w:rPr>
        <w:color w:val="000000" w:themeColor="text1"/>
        <w:shd w:val="clear" w:color="auto" w:fill="FFFFFF"/>
      </w:rPr>
      <w:t>2550-0805  E-ISSN 2550-0791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977C" w14:textId="75D2824F" w:rsidR="006A68DC" w:rsidRPr="00697D1B" w:rsidRDefault="006A68DC" w:rsidP="00B27765">
    <w:pPr>
      <w:jc w:val="right"/>
      <w:rPr>
        <w:color w:val="000000" w:themeColor="text1"/>
      </w:rPr>
    </w:pPr>
    <w:r>
      <w:rPr>
        <w:color w:val="000000" w:themeColor="text1"/>
      </w:rPr>
      <w:t xml:space="preserve">Perspektif: Jurnal Ekonomi &amp; Manajemen, Volume </w:t>
    </w:r>
    <w:r w:rsidR="00AB0A66">
      <w:rPr>
        <w:color w:val="000000" w:themeColor="text1"/>
      </w:rPr>
      <w:t>23</w:t>
    </w:r>
    <w:r>
      <w:rPr>
        <w:color w:val="000000" w:themeColor="text1"/>
      </w:rPr>
      <w:t xml:space="preserve"> No. </w:t>
    </w:r>
    <w:r w:rsidR="00AB0A66">
      <w:rPr>
        <w:color w:val="000000" w:themeColor="text1"/>
      </w:rPr>
      <w:t>2 September</w:t>
    </w:r>
    <w:r>
      <w:rPr>
        <w:color w:val="000000" w:themeColor="text1"/>
      </w:rPr>
      <w:t xml:space="preserve"> 202</w:t>
    </w:r>
    <w:r w:rsidR="00AB0A66">
      <w:rPr>
        <w:color w:val="000000" w:themeColor="text1"/>
      </w:rPr>
      <w:t>5</w:t>
    </w:r>
  </w:p>
  <w:p w14:paraId="3E292F23" w14:textId="77777777" w:rsidR="006A68DC" w:rsidRPr="00B27765" w:rsidRDefault="006A68DC" w:rsidP="00B27765">
    <w:pPr>
      <w:pBdr>
        <w:bottom w:val="single" w:sz="4" w:space="1" w:color="auto"/>
      </w:pBdr>
      <w:jc w:val="right"/>
      <w:rPr>
        <w:color w:val="000000" w:themeColor="text1"/>
        <w:shd w:val="clear" w:color="auto" w:fill="FFFFFF"/>
      </w:rPr>
    </w:pPr>
    <w:r w:rsidRPr="00697D1B">
      <w:rPr>
        <w:color w:val="000000" w:themeColor="text1"/>
      </w:rPr>
      <w:t xml:space="preserve">P-ISSN </w:t>
    </w:r>
    <w:r>
      <w:rPr>
        <w:color w:val="000000" w:themeColor="text1"/>
      </w:rPr>
      <w:t>1411-8637</w:t>
    </w:r>
    <w:r w:rsidRPr="00697D1B">
      <w:rPr>
        <w:color w:val="000000" w:themeColor="text1"/>
        <w:shd w:val="clear" w:color="auto" w:fill="FFFFFF"/>
      </w:rPr>
      <w:t xml:space="preserve">  E-ISSN 2550-</w:t>
    </w:r>
    <w:r>
      <w:rPr>
        <w:color w:val="000000" w:themeColor="text1"/>
        <w:shd w:val="clear" w:color="auto" w:fill="FFFFFF"/>
      </w:rPr>
      <w:t>1178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247A" w14:textId="77777777" w:rsidR="006A68DC" w:rsidRPr="007571C7" w:rsidRDefault="006A68DC" w:rsidP="00A42075">
    <w:pPr>
      <w:jc w:val="left"/>
      <w:rPr>
        <w:b/>
        <w:color w:val="000000" w:themeColor="text1"/>
      </w:rPr>
    </w:pPr>
    <w:r w:rsidRPr="007571C7">
      <w:rPr>
        <w:b/>
        <w:color w:val="000000" w:themeColor="text1"/>
      </w:rPr>
      <w:t>Perspektif: Jurnal Ekonomi &amp; Manajemen Universitas Bina Sarana Informatika</w:t>
    </w:r>
  </w:p>
  <w:p w14:paraId="0FB84E70" w14:textId="39D8DA9D" w:rsidR="006A68DC" w:rsidRPr="007571C7" w:rsidRDefault="006A68DC" w:rsidP="00A42075">
    <w:pPr>
      <w:jc w:val="left"/>
      <w:rPr>
        <w:color w:val="000000" w:themeColor="text1"/>
      </w:rPr>
    </w:pPr>
    <w:r w:rsidRPr="007571C7">
      <w:rPr>
        <w:color w:val="000000" w:themeColor="text1"/>
      </w:rPr>
      <w:t xml:space="preserve">Volume </w:t>
    </w:r>
    <w:r w:rsidR="001C3EB4">
      <w:rPr>
        <w:color w:val="000000" w:themeColor="text1"/>
      </w:rPr>
      <w:t>23</w:t>
    </w:r>
    <w:r w:rsidRPr="007571C7">
      <w:rPr>
        <w:color w:val="000000" w:themeColor="text1"/>
      </w:rPr>
      <w:t xml:space="preserve"> No. </w:t>
    </w:r>
    <w:r w:rsidR="001C3EB4">
      <w:rPr>
        <w:color w:val="000000" w:themeColor="text1"/>
      </w:rPr>
      <w:t>2 September</w:t>
    </w:r>
    <w:r w:rsidRPr="007571C7">
      <w:rPr>
        <w:color w:val="000000" w:themeColor="text1"/>
      </w:rPr>
      <w:t xml:space="preserve"> 202</w:t>
    </w:r>
    <w:r w:rsidR="001C3EB4">
      <w:rPr>
        <w:color w:val="000000" w:themeColor="text1"/>
      </w:rPr>
      <w:t>5</w:t>
    </w:r>
  </w:p>
  <w:p w14:paraId="2CA5EAAB" w14:textId="77777777" w:rsidR="006A68DC" w:rsidRPr="007571C7" w:rsidRDefault="006A68DC" w:rsidP="00A42075">
    <w:pPr>
      <w:jc w:val="left"/>
      <w:rPr>
        <w:color w:val="000000" w:themeColor="text1"/>
        <w:shd w:val="clear" w:color="auto" w:fill="FFFFFF"/>
      </w:rPr>
    </w:pPr>
    <w:r w:rsidRPr="007571C7">
      <w:rPr>
        <w:color w:val="000000" w:themeColor="text1"/>
      </w:rPr>
      <w:t>P-ISSN 1411-8637</w:t>
    </w:r>
    <w:r w:rsidRPr="007571C7">
      <w:rPr>
        <w:color w:val="000000" w:themeColor="text1"/>
        <w:shd w:val="clear" w:color="auto" w:fill="FFFFFF"/>
      </w:rPr>
      <w:t xml:space="preserve">  E-ISSN 2550-1178</w:t>
    </w:r>
  </w:p>
  <w:p w14:paraId="74285CA3" w14:textId="77777777" w:rsidR="006A68DC" w:rsidRPr="00C77C9E" w:rsidRDefault="006A68DC" w:rsidP="00A37974">
    <w:pPr>
      <w:pBdr>
        <w:bottom w:val="single" w:sz="4" w:space="1" w:color="auto"/>
      </w:pBdr>
      <w:jc w:val="left"/>
      <w:rPr>
        <w:color w:val="000000" w:themeColor="text1"/>
        <w:shd w:val="clear" w:color="auto" w:fill="FFFFFF"/>
      </w:rPr>
    </w:pPr>
    <w:r w:rsidRPr="007571C7">
      <w:rPr>
        <w:color w:val="333333"/>
        <w:shd w:val="clear" w:color="auto" w:fill="FFFFFF"/>
      </w:rPr>
      <w:t>DOI: </w:t>
    </w:r>
    <w:hyperlink r:id="rId1" w:history="1">
      <w:r w:rsidRPr="007571C7">
        <w:rPr>
          <w:rStyle w:val="Hyperlink"/>
          <w:color w:val="000000"/>
          <w:shd w:val="clear" w:color="auto" w:fill="FFFFFF"/>
        </w:rPr>
        <w:t>https://doi.org/10.31294/jp.v17i2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7089"/>
    <w:multiLevelType w:val="hybridMultilevel"/>
    <w:tmpl w:val="75CA575C"/>
    <w:lvl w:ilvl="0" w:tplc="2544FDB0">
      <w:start w:val="1"/>
      <w:numFmt w:val="decimal"/>
      <w:lvlText w:val="%1."/>
      <w:lvlJc w:val="left"/>
      <w:pPr>
        <w:ind w:left="1080" w:hanging="360"/>
      </w:pPr>
      <w:rPr>
        <w:rFonts w:hint="default"/>
      </w:rPr>
    </w:lvl>
    <w:lvl w:ilvl="1" w:tplc="78E8B946">
      <w:start w:val="1"/>
      <w:numFmt w:val="lowerLetter"/>
      <w:lvlText w:val="%2."/>
      <w:lvlJc w:val="left"/>
      <w:pPr>
        <w:ind w:left="1800" w:hanging="360"/>
      </w:pPr>
      <w:rPr>
        <w:rFonts w:hint="default"/>
      </w:rPr>
    </w:lvl>
    <w:lvl w:ilvl="2" w:tplc="78E8B946">
      <w:start w:val="1"/>
      <w:numFmt w:val="lowerLetter"/>
      <w:lvlText w:val="%3."/>
      <w:lvlJc w:val="left"/>
      <w:pPr>
        <w:ind w:left="2700" w:hanging="360"/>
      </w:pPr>
      <w:rPr>
        <w:rFonts w:hint="default"/>
      </w:rPr>
    </w:lvl>
    <w:lvl w:ilvl="3" w:tplc="D53286C0">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C6520"/>
    <w:multiLevelType w:val="hybridMultilevel"/>
    <w:tmpl w:val="6D164318"/>
    <w:lvl w:ilvl="0" w:tplc="120816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573341"/>
    <w:multiLevelType w:val="hybridMultilevel"/>
    <w:tmpl w:val="1A86F29E"/>
    <w:lvl w:ilvl="0" w:tplc="2A30F1F4">
      <w:start w:val="1"/>
      <w:numFmt w:val="decimal"/>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B66F92"/>
    <w:multiLevelType w:val="hybridMultilevel"/>
    <w:tmpl w:val="E1C61A88"/>
    <w:lvl w:ilvl="0" w:tplc="7D7A4A24">
      <w:start w:val="1"/>
      <w:numFmt w:val="decimal"/>
      <w:lvlText w:val="%1."/>
      <w:lvlJc w:val="left"/>
      <w:pPr>
        <w:ind w:left="360" w:hanging="360"/>
      </w:pPr>
      <w:rPr>
        <w:rFonts w:ascii="Times New Roman" w:eastAsia="MS Mincho" w:hAnsi="Times New Roman" w:cs="Times New Roman"/>
      </w:rPr>
    </w:lvl>
    <w:lvl w:ilvl="1" w:tplc="292C08C4">
      <w:start w:val="1"/>
      <w:numFmt w:val="lowerLetter"/>
      <w:lvlText w:val="%2."/>
      <w:lvlJc w:val="left"/>
      <w:pPr>
        <w:ind w:left="1080" w:hanging="360"/>
      </w:pPr>
      <w:rPr>
        <w:rFonts w:ascii="Times New Roman" w:eastAsia="MS Mincho"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B734FC6"/>
    <w:multiLevelType w:val="multilevel"/>
    <w:tmpl w:val="7E98FAD0"/>
    <w:lvl w:ilvl="0">
      <w:start w:val="1"/>
      <w:numFmt w:val="upperRoman"/>
      <w:pStyle w:val="Heading1"/>
      <w:lvlText w:val="BAB %1"/>
      <w:lvlJc w:val="left"/>
      <w:pPr>
        <w:ind w:left="1140" w:hanging="432"/>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23373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331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585815">
    <w:abstractNumId w:val="4"/>
  </w:num>
  <w:num w:numId="4" w16cid:durableId="1972200944">
    <w:abstractNumId w:val="0"/>
  </w:num>
  <w:num w:numId="5" w16cid:durableId="2379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6F"/>
    <w:rsid w:val="00001D44"/>
    <w:rsid w:val="00002E57"/>
    <w:rsid w:val="00004E34"/>
    <w:rsid w:val="0002497A"/>
    <w:rsid w:val="00040560"/>
    <w:rsid w:val="00043A00"/>
    <w:rsid w:val="00054A54"/>
    <w:rsid w:val="00066C76"/>
    <w:rsid w:val="00071CAC"/>
    <w:rsid w:val="00071F13"/>
    <w:rsid w:val="0007445D"/>
    <w:rsid w:val="00084BE9"/>
    <w:rsid w:val="00086B25"/>
    <w:rsid w:val="000B0306"/>
    <w:rsid w:val="000B41C6"/>
    <w:rsid w:val="000C1650"/>
    <w:rsid w:val="000C3C33"/>
    <w:rsid w:val="000E48F4"/>
    <w:rsid w:val="000F2FA0"/>
    <w:rsid w:val="000F43D3"/>
    <w:rsid w:val="000F7E0E"/>
    <w:rsid w:val="00117C02"/>
    <w:rsid w:val="001206C4"/>
    <w:rsid w:val="00122157"/>
    <w:rsid w:val="00126A14"/>
    <w:rsid w:val="00130AD5"/>
    <w:rsid w:val="00131D07"/>
    <w:rsid w:val="0014469C"/>
    <w:rsid w:val="00150BDB"/>
    <w:rsid w:val="0015405E"/>
    <w:rsid w:val="00154811"/>
    <w:rsid w:val="001707AA"/>
    <w:rsid w:val="00176403"/>
    <w:rsid w:val="00181593"/>
    <w:rsid w:val="001819C7"/>
    <w:rsid w:val="00187BFA"/>
    <w:rsid w:val="00196CD0"/>
    <w:rsid w:val="001B6A64"/>
    <w:rsid w:val="001C3AA0"/>
    <w:rsid w:val="001C3EB4"/>
    <w:rsid w:val="001C588D"/>
    <w:rsid w:val="001C5945"/>
    <w:rsid w:val="001D2510"/>
    <w:rsid w:val="001D3CD5"/>
    <w:rsid w:val="00225CB1"/>
    <w:rsid w:val="00226D31"/>
    <w:rsid w:val="00250FCF"/>
    <w:rsid w:val="00255146"/>
    <w:rsid w:val="002634AC"/>
    <w:rsid w:val="00263899"/>
    <w:rsid w:val="00281EE3"/>
    <w:rsid w:val="00284FDD"/>
    <w:rsid w:val="00294BB9"/>
    <w:rsid w:val="002A2510"/>
    <w:rsid w:val="002C799C"/>
    <w:rsid w:val="002D078F"/>
    <w:rsid w:val="002D666F"/>
    <w:rsid w:val="002E3241"/>
    <w:rsid w:val="002E4DEA"/>
    <w:rsid w:val="002F1D07"/>
    <w:rsid w:val="0030558C"/>
    <w:rsid w:val="0030754B"/>
    <w:rsid w:val="003224D5"/>
    <w:rsid w:val="003359EA"/>
    <w:rsid w:val="00346898"/>
    <w:rsid w:val="00351795"/>
    <w:rsid w:val="00391DE9"/>
    <w:rsid w:val="003B36AC"/>
    <w:rsid w:val="003C2B36"/>
    <w:rsid w:val="003C6867"/>
    <w:rsid w:val="003D18C4"/>
    <w:rsid w:val="003D3D8B"/>
    <w:rsid w:val="003E0672"/>
    <w:rsid w:val="003E3015"/>
    <w:rsid w:val="0040581D"/>
    <w:rsid w:val="00405E0E"/>
    <w:rsid w:val="00455E6F"/>
    <w:rsid w:val="0045622A"/>
    <w:rsid w:val="00457E14"/>
    <w:rsid w:val="00461471"/>
    <w:rsid w:val="00480E3F"/>
    <w:rsid w:val="0048713C"/>
    <w:rsid w:val="00490B6B"/>
    <w:rsid w:val="00497DE8"/>
    <w:rsid w:val="004A3177"/>
    <w:rsid w:val="004A7C89"/>
    <w:rsid w:val="004C05DD"/>
    <w:rsid w:val="004D1741"/>
    <w:rsid w:val="004F5922"/>
    <w:rsid w:val="0050135C"/>
    <w:rsid w:val="005063CD"/>
    <w:rsid w:val="00536E02"/>
    <w:rsid w:val="00544494"/>
    <w:rsid w:val="0058500F"/>
    <w:rsid w:val="0059202C"/>
    <w:rsid w:val="00597F95"/>
    <w:rsid w:val="005B70D9"/>
    <w:rsid w:val="005C21E7"/>
    <w:rsid w:val="005C32BE"/>
    <w:rsid w:val="005D12E5"/>
    <w:rsid w:val="0060673F"/>
    <w:rsid w:val="006101F6"/>
    <w:rsid w:val="0061159A"/>
    <w:rsid w:val="006141FA"/>
    <w:rsid w:val="006240B1"/>
    <w:rsid w:val="00636FB0"/>
    <w:rsid w:val="00666FE2"/>
    <w:rsid w:val="006712C5"/>
    <w:rsid w:val="0067625C"/>
    <w:rsid w:val="006812B5"/>
    <w:rsid w:val="00681963"/>
    <w:rsid w:val="00697D1B"/>
    <w:rsid w:val="006A0E06"/>
    <w:rsid w:val="006A194A"/>
    <w:rsid w:val="006A68DC"/>
    <w:rsid w:val="006B0D70"/>
    <w:rsid w:val="006B7AED"/>
    <w:rsid w:val="006C1A82"/>
    <w:rsid w:val="006C3920"/>
    <w:rsid w:val="006F27FC"/>
    <w:rsid w:val="006F5A1D"/>
    <w:rsid w:val="006F6FFB"/>
    <w:rsid w:val="006F78CD"/>
    <w:rsid w:val="00702155"/>
    <w:rsid w:val="00710D5B"/>
    <w:rsid w:val="00712E4B"/>
    <w:rsid w:val="00731D95"/>
    <w:rsid w:val="007411C4"/>
    <w:rsid w:val="00747BE8"/>
    <w:rsid w:val="007571C7"/>
    <w:rsid w:val="007618CD"/>
    <w:rsid w:val="0076220C"/>
    <w:rsid w:val="00766BCE"/>
    <w:rsid w:val="00767CF8"/>
    <w:rsid w:val="007859CE"/>
    <w:rsid w:val="007925E9"/>
    <w:rsid w:val="007B336A"/>
    <w:rsid w:val="007B7C30"/>
    <w:rsid w:val="007C166F"/>
    <w:rsid w:val="007C54EA"/>
    <w:rsid w:val="007C74EC"/>
    <w:rsid w:val="007D25E0"/>
    <w:rsid w:val="007D285A"/>
    <w:rsid w:val="007F30D5"/>
    <w:rsid w:val="007F50A0"/>
    <w:rsid w:val="0081170B"/>
    <w:rsid w:val="00811D92"/>
    <w:rsid w:val="00841AE5"/>
    <w:rsid w:val="0084509C"/>
    <w:rsid w:val="008567D6"/>
    <w:rsid w:val="00861383"/>
    <w:rsid w:val="00873CB6"/>
    <w:rsid w:val="00887A44"/>
    <w:rsid w:val="00887ADF"/>
    <w:rsid w:val="008902A7"/>
    <w:rsid w:val="00893A47"/>
    <w:rsid w:val="008A67CA"/>
    <w:rsid w:val="008B7D30"/>
    <w:rsid w:val="008C52A4"/>
    <w:rsid w:val="008E339C"/>
    <w:rsid w:val="0090169A"/>
    <w:rsid w:val="0092544B"/>
    <w:rsid w:val="009267CF"/>
    <w:rsid w:val="00926B49"/>
    <w:rsid w:val="00932195"/>
    <w:rsid w:val="009457D5"/>
    <w:rsid w:val="009546F6"/>
    <w:rsid w:val="00965679"/>
    <w:rsid w:val="009766B1"/>
    <w:rsid w:val="00977A4E"/>
    <w:rsid w:val="00981DFD"/>
    <w:rsid w:val="00997F2C"/>
    <w:rsid w:val="009A1615"/>
    <w:rsid w:val="009B3786"/>
    <w:rsid w:val="009B68A6"/>
    <w:rsid w:val="009B68A9"/>
    <w:rsid w:val="009E2011"/>
    <w:rsid w:val="009E7BD4"/>
    <w:rsid w:val="00A07AC6"/>
    <w:rsid w:val="00A07EA0"/>
    <w:rsid w:val="00A12583"/>
    <w:rsid w:val="00A156C4"/>
    <w:rsid w:val="00A2534B"/>
    <w:rsid w:val="00A37974"/>
    <w:rsid w:val="00A42075"/>
    <w:rsid w:val="00A459A9"/>
    <w:rsid w:val="00A45DC5"/>
    <w:rsid w:val="00A45E12"/>
    <w:rsid w:val="00A651BA"/>
    <w:rsid w:val="00A7438F"/>
    <w:rsid w:val="00A77045"/>
    <w:rsid w:val="00A8362E"/>
    <w:rsid w:val="00A913A3"/>
    <w:rsid w:val="00AA362D"/>
    <w:rsid w:val="00AB0A66"/>
    <w:rsid w:val="00AB200A"/>
    <w:rsid w:val="00AB35AD"/>
    <w:rsid w:val="00AB50D6"/>
    <w:rsid w:val="00AC4C3D"/>
    <w:rsid w:val="00AE638B"/>
    <w:rsid w:val="00AF5F53"/>
    <w:rsid w:val="00B05F27"/>
    <w:rsid w:val="00B27765"/>
    <w:rsid w:val="00B3412C"/>
    <w:rsid w:val="00B45210"/>
    <w:rsid w:val="00B46EB3"/>
    <w:rsid w:val="00B511CA"/>
    <w:rsid w:val="00B57B0B"/>
    <w:rsid w:val="00B57D8C"/>
    <w:rsid w:val="00B66ECE"/>
    <w:rsid w:val="00B71904"/>
    <w:rsid w:val="00B837FA"/>
    <w:rsid w:val="00BA1A5F"/>
    <w:rsid w:val="00BC26F7"/>
    <w:rsid w:val="00BC3F55"/>
    <w:rsid w:val="00BD10A5"/>
    <w:rsid w:val="00BE1A77"/>
    <w:rsid w:val="00C117C5"/>
    <w:rsid w:val="00C17264"/>
    <w:rsid w:val="00C20F2B"/>
    <w:rsid w:val="00C25DE8"/>
    <w:rsid w:val="00C476A7"/>
    <w:rsid w:val="00C51C43"/>
    <w:rsid w:val="00C5677B"/>
    <w:rsid w:val="00C571F4"/>
    <w:rsid w:val="00C720F1"/>
    <w:rsid w:val="00C764E6"/>
    <w:rsid w:val="00C77C9E"/>
    <w:rsid w:val="00C86D8F"/>
    <w:rsid w:val="00C963FE"/>
    <w:rsid w:val="00CA166E"/>
    <w:rsid w:val="00CA3E97"/>
    <w:rsid w:val="00CB7465"/>
    <w:rsid w:val="00CD5BA4"/>
    <w:rsid w:val="00CE2E36"/>
    <w:rsid w:val="00CE4358"/>
    <w:rsid w:val="00CF2094"/>
    <w:rsid w:val="00CF2C18"/>
    <w:rsid w:val="00CF3A6F"/>
    <w:rsid w:val="00CF564B"/>
    <w:rsid w:val="00D10323"/>
    <w:rsid w:val="00D10F48"/>
    <w:rsid w:val="00D20634"/>
    <w:rsid w:val="00D26E4E"/>
    <w:rsid w:val="00D40811"/>
    <w:rsid w:val="00D42BE3"/>
    <w:rsid w:val="00D47442"/>
    <w:rsid w:val="00D50067"/>
    <w:rsid w:val="00D746AD"/>
    <w:rsid w:val="00DA16E8"/>
    <w:rsid w:val="00DC433C"/>
    <w:rsid w:val="00DD30D1"/>
    <w:rsid w:val="00DF09B5"/>
    <w:rsid w:val="00DF6863"/>
    <w:rsid w:val="00E1313D"/>
    <w:rsid w:val="00E13E67"/>
    <w:rsid w:val="00E20AD4"/>
    <w:rsid w:val="00E24DE4"/>
    <w:rsid w:val="00E3548D"/>
    <w:rsid w:val="00E41AB3"/>
    <w:rsid w:val="00E42842"/>
    <w:rsid w:val="00E545EA"/>
    <w:rsid w:val="00E74DF8"/>
    <w:rsid w:val="00E80EA7"/>
    <w:rsid w:val="00E816B2"/>
    <w:rsid w:val="00E851DB"/>
    <w:rsid w:val="00E86422"/>
    <w:rsid w:val="00E86E7D"/>
    <w:rsid w:val="00E934CC"/>
    <w:rsid w:val="00EB0170"/>
    <w:rsid w:val="00EB43F0"/>
    <w:rsid w:val="00EC536B"/>
    <w:rsid w:val="00EC57A8"/>
    <w:rsid w:val="00ED35C3"/>
    <w:rsid w:val="00ED750F"/>
    <w:rsid w:val="00EE03BD"/>
    <w:rsid w:val="00EE5249"/>
    <w:rsid w:val="00EE5F6A"/>
    <w:rsid w:val="00EF1A6A"/>
    <w:rsid w:val="00EF5F0A"/>
    <w:rsid w:val="00F003D8"/>
    <w:rsid w:val="00F01C41"/>
    <w:rsid w:val="00F157F9"/>
    <w:rsid w:val="00F32E90"/>
    <w:rsid w:val="00F349FA"/>
    <w:rsid w:val="00F34D8A"/>
    <w:rsid w:val="00F370B2"/>
    <w:rsid w:val="00F41823"/>
    <w:rsid w:val="00F654AA"/>
    <w:rsid w:val="00F74F7D"/>
    <w:rsid w:val="00F84753"/>
    <w:rsid w:val="00F86A9A"/>
    <w:rsid w:val="00F932A7"/>
    <w:rsid w:val="00FA2985"/>
    <w:rsid w:val="00FA5885"/>
    <w:rsid w:val="00FB44A9"/>
    <w:rsid w:val="00FB64AE"/>
    <w:rsid w:val="00FB7155"/>
    <w:rsid w:val="00FC32F3"/>
    <w:rsid w:val="00FD0D0B"/>
    <w:rsid w:val="00FE24B6"/>
    <w:rsid w:val="00FE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B42B4"/>
  <w15:chartTrackingRefBased/>
  <w15:docId w15:val="{7886939B-1F5F-4566-9AE4-722615F2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6F"/>
    <w:pPr>
      <w:jc w:val="both"/>
    </w:pPr>
    <w:rPr>
      <w:rFonts w:eastAsia="MS Mincho" w:cs="Times New Roman"/>
      <w:sz w:val="20"/>
      <w:szCs w:val="20"/>
    </w:rPr>
  </w:style>
  <w:style w:type="paragraph" w:styleId="Heading1">
    <w:name w:val="heading 1"/>
    <w:basedOn w:val="Normal"/>
    <w:next w:val="Normal"/>
    <w:link w:val="Heading1Char"/>
    <w:uiPriority w:val="9"/>
    <w:qFormat/>
    <w:rsid w:val="00EC536B"/>
    <w:pPr>
      <w:keepNext/>
      <w:keepLines/>
      <w:numPr>
        <w:numId w:val="3"/>
      </w:numPr>
      <w:spacing w:before="240" w:line="48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C536B"/>
    <w:pPr>
      <w:keepNext/>
      <w:keepLines/>
      <w:numPr>
        <w:ilvl w:val="1"/>
        <w:numId w:val="3"/>
      </w:numPr>
      <w:spacing w:before="40" w:line="480"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C536B"/>
    <w:pPr>
      <w:keepNext/>
      <w:keepLines/>
      <w:numPr>
        <w:ilvl w:val="2"/>
        <w:numId w:val="3"/>
      </w:numPr>
      <w:spacing w:before="40" w:line="480" w:lineRule="auto"/>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EC536B"/>
    <w:pPr>
      <w:keepNext/>
      <w:keepLines/>
      <w:numPr>
        <w:ilvl w:val="3"/>
        <w:numId w:val="3"/>
      </w:numPr>
      <w:spacing w:before="40" w:line="480" w:lineRule="auto"/>
      <w:outlineLvl w:val="3"/>
    </w:pPr>
    <w:rPr>
      <w:rFonts w:asciiTheme="majorHAnsi" w:eastAsiaTheme="majorEastAsia" w:hAnsiTheme="majorHAnsi" w:cstheme="majorBidi"/>
      <w:i/>
      <w:iCs/>
      <w:color w:val="2E74B5" w:themeColor="accent1" w:themeShade="BF"/>
      <w:sz w:val="24"/>
      <w:szCs w:val="22"/>
    </w:rPr>
  </w:style>
  <w:style w:type="paragraph" w:styleId="Heading5">
    <w:name w:val="heading 5"/>
    <w:basedOn w:val="Normal"/>
    <w:next w:val="Normal"/>
    <w:link w:val="Heading5Char"/>
    <w:uiPriority w:val="9"/>
    <w:semiHidden/>
    <w:unhideWhenUsed/>
    <w:qFormat/>
    <w:rsid w:val="00EC536B"/>
    <w:pPr>
      <w:keepNext/>
      <w:keepLines/>
      <w:numPr>
        <w:ilvl w:val="4"/>
        <w:numId w:val="3"/>
      </w:numPr>
      <w:spacing w:before="40" w:line="480" w:lineRule="auto"/>
      <w:outlineLvl w:val="4"/>
    </w:pPr>
    <w:rPr>
      <w:rFonts w:asciiTheme="majorHAnsi" w:eastAsiaTheme="majorEastAsia" w:hAnsiTheme="majorHAnsi" w:cstheme="majorBidi"/>
      <w:color w:val="2E74B5" w:themeColor="accent1" w:themeShade="BF"/>
      <w:sz w:val="24"/>
      <w:szCs w:val="22"/>
    </w:rPr>
  </w:style>
  <w:style w:type="paragraph" w:styleId="Heading6">
    <w:name w:val="heading 6"/>
    <w:basedOn w:val="Normal"/>
    <w:next w:val="Normal"/>
    <w:link w:val="Heading6Char"/>
    <w:uiPriority w:val="9"/>
    <w:semiHidden/>
    <w:unhideWhenUsed/>
    <w:qFormat/>
    <w:rsid w:val="00EC536B"/>
    <w:pPr>
      <w:keepNext/>
      <w:keepLines/>
      <w:numPr>
        <w:ilvl w:val="5"/>
        <w:numId w:val="3"/>
      </w:numPr>
      <w:spacing w:before="40" w:line="480" w:lineRule="auto"/>
      <w:outlineLvl w:val="5"/>
    </w:pPr>
    <w:rPr>
      <w:rFonts w:asciiTheme="majorHAnsi" w:eastAsiaTheme="majorEastAsia" w:hAnsiTheme="majorHAnsi" w:cstheme="majorBidi"/>
      <w:color w:val="1F4D78" w:themeColor="accent1" w:themeShade="7F"/>
      <w:sz w:val="24"/>
      <w:szCs w:val="22"/>
    </w:rPr>
  </w:style>
  <w:style w:type="paragraph" w:styleId="Heading7">
    <w:name w:val="heading 7"/>
    <w:basedOn w:val="Normal"/>
    <w:next w:val="Normal"/>
    <w:link w:val="Heading7Char"/>
    <w:uiPriority w:val="9"/>
    <w:semiHidden/>
    <w:unhideWhenUsed/>
    <w:qFormat/>
    <w:rsid w:val="00EC536B"/>
    <w:pPr>
      <w:keepNext/>
      <w:keepLines/>
      <w:numPr>
        <w:ilvl w:val="6"/>
        <w:numId w:val="3"/>
      </w:numPr>
      <w:spacing w:before="40" w:line="480" w:lineRule="auto"/>
      <w:outlineLvl w:val="6"/>
    </w:pPr>
    <w:rPr>
      <w:rFonts w:asciiTheme="majorHAnsi" w:eastAsiaTheme="majorEastAsia" w:hAnsiTheme="majorHAnsi" w:cstheme="majorBidi"/>
      <w:i/>
      <w:iCs/>
      <w:color w:val="1F4D78" w:themeColor="accent1" w:themeShade="7F"/>
      <w:sz w:val="24"/>
      <w:szCs w:val="22"/>
    </w:rPr>
  </w:style>
  <w:style w:type="paragraph" w:styleId="Heading8">
    <w:name w:val="heading 8"/>
    <w:basedOn w:val="Normal"/>
    <w:next w:val="Normal"/>
    <w:link w:val="Heading8Char"/>
    <w:uiPriority w:val="9"/>
    <w:semiHidden/>
    <w:unhideWhenUsed/>
    <w:qFormat/>
    <w:rsid w:val="00EC536B"/>
    <w:pPr>
      <w:keepNext/>
      <w:keepLines/>
      <w:numPr>
        <w:ilvl w:val="7"/>
        <w:numId w:val="3"/>
      </w:numPr>
      <w:spacing w:before="4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536B"/>
    <w:pPr>
      <w:keepNext/>
      <w:keepLines/>
      <w:numPr>
        <w:ilvl w:val="8"/>
        <w:numId w:val="3"/>
      </w:numPr>
      <w:spacing w:before="4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3A6F"/>
    <w:pPr>
      <w:tabs>
        <w:tab w:val="center" w:pos="4252"/>
        <w:tab w:val="right" w:pos="8504"/>
      </w:tabs>
      <w:snapToGrid w:val="0"/>
    </w:pPr>
  </w:style>
  <w:style w:type="character" w:customStyle="1" w:styleId="HeaderChar">
    <w:name w:val="Header Char"/>
    <w:basedOn w:val="DefaultParagraphFont"/>
    <w:link w:val="Header"/>
    <w:uiPriority w:val="99"/>
    <w:rsid w:val="00CF3A6F"/>
    <w:rPr>
      <w:rFonts w:eastAsia="MS Mincho" w:cs="Times New Roman"/>
      <w:sz w:val="20"/>
      <w:szCs w:val="20"/>
    </w:rPr>
  </w:style>
  <w:style w:type="paragraph" w:styleId="Footer">
    <w:name w:val="footer"/>
    <w:basedOn w:val="Normal"/>
    <w:link w:val="FooterChar"/>
    <w:uiPriority w:val="99"/>
    <w:unhideWhenUsed/>
    <w:rsid w:val="00CF3A6F"/>
    <w:pPr>
      <w:tabs>
        <w:tab w:val="center" w:pos="4680"/>
        <w:tab w:val="right" w:pos="9360"/>
      </w:tabs>
    </w:pPr>
  </w:style>
  <w:style w:type="character" w:customStyle="1" w:styleId="FooterChar">
    <w:name w:val="Footer Char"/>
    <w:basedOn w:val="DefaultParagraphFont"/>
    <w:link w:val="Footer"/>
    <w:uiPriority w:val="99"/>
    <w:rsid w:val="00CF3A6F"/>
    <w:rPr>
      <w:rFonts w:eastAsia="MS Mincho" w:cs="Times New Roman"/>
      <w:sz w:val="20"/>
      <w:szCs w:val="20"/>
    </w:rPr>
  </w:style>
  <w:style w:type="paragraph" w:styleId="ListParagraph">
    <w:name w:val="List Paragraph"/>
    <w:basedOn w:val="Normal"/>
    <w:link w:val="ListParagraphChar"/>
    <w:uiPriority w:val="34"/>
    <w:qFormat/>
    <w:rsid w:val="00CF3A6F"/>
    <w:pPr>
      <w:spacing w:after="200" w:line="276" w:lineRule="auto"/>
      <w:ind w:left="720"/>
      <w:contextualSpacing/>
      <w:jc w:val="left"/>
    </w:pPr>
    <w:rPr>
      <w:rFonts w:ascii="Calibri" w:eastAsia="Calibri" w:hAnsi="Calibri"/>
      <w:sz w:val="22"/>
      <w:szCs w:val="22"/>
    </w:rPr>
  </w:style>
  <w:style w:type="paragraph" w:styleId="NoSpacing">
    <w:name w:val="No Spacing"/>
    <w:qFormat/>
    <w:rsid w:val="00CF3A6F"/>
    <w:rPr>
      <w:rFonts w:ascii="Calibri" w:eastAsia="Calibri" w:hAnsi="Calibri" w:cs="Times New Roman"/>
      <w:sz w:val="22"/>
    </w:rPr>
  </w:style>
  <w:style w:type="character" w:customStyle="1" w:styleId="ListParagraphChar">
    <w:name w:val="List Paragraph Char"/>
    <w:link w:val="ListParagraph"/>
    <w:uiPriority w:val="34"/>
    <w:rsid w:val="00CF3A6F"/>
    <w:rPr>
      <w:rFonts w:ascii="Calibri" w:eastAsia="Calibri" w:hAnsi="Calibri" w:cs="Times New Roman"/>
      <w:sz w:val="22"/>
    </w:rPr>
  </w:style>
  <w:style w:type="table" w:styleId="TableGrid">
    <w:name w:val="Table Grid"/>
    <w:basedOn w:val="TableNormal"/>
    <w:uiPriority w:val="59"/>
    <w:rsid w:val="00CF3A6F"/>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9EA"/>
    <w:rPr>
      <w:color w:val="0563C1" w:themeColor="hyperlink"/>
      <w:u w:val="single"/>
    </w:rPr>
  </w:style>
  <w:style w:type="character" w:customStyle="1" w:styleId="st">
    <w:name w:val="st"/>
    <w:basedOn w:val="DefaultParagraphFont"/>
    <w:rsid w:val="0014469C"/>
  </w:style>
  <w:style w:type="paragraph" w:styleId="Bibliography">
    <w:name w:val="Bibliography"/>
    <w:basedOn w:val="Normal"/>
    <w:next w:val="Normal"/>
    <w:uiPriority w:val="37"/>
    <w:unhideWhenUsed/>
    <w:rsid w:val="0061159A"/>
    <w:pPr>
      <w:jc w:val="left"/>
    </w:pPr>
    <w:rPr>
      <w:rFonts w:asciiTheme="minorHAnsi" w:eastAsiaTheme="minorEastAsia" w:hAnsiTheme="minorHAnsi"/>
      <w:sz w:val="24"/>
      <w:szCs w:val="24"/>
      <w:lang w:bidi="en-US"/>
    </w:rPr>
  </w:style>
  <w:style w:type="paragraph" w:styleId="BodyText">
    <w:name w:val="Body Text"/>
    <w:basedOn w:val="Normal"/>
    <w:link w:val="BodyTextChar"/>
    <w:uiPriority w:val="1"/>
    <w:qFormat/>
    <w:rsid w:val="00226D31"/>
    <w:pPr>
      <w:widowControl w:val="0"/>
      <w:autoSpaceDE w:val="0"/>
      <w:autoSpaceDN w:val="0"/>
      <w:jc w:val="left"/>
    </w:pPr>
    <w:rPr>
      <w:rFonts w:eastAsia="Times New Roman"/>
      <w:lang w:val="id"/>
    </w:rPr>
  </w:style>
  <w:style w:type="character" w:customStyle="1" w:styleId="BodyTextChar">
    <w:name w:val="Body Text Char"/>
    <w:basedOn w:val="DefaultParagraphFont"/>
    <w:link w:val="BodyText"/>
    <w:uiPriority w:val="1"/>
    <w:rsid w:val="00226D31"/>
    <w:rPr>
      <w:rFonts w:eastAsia="Times New Roman" w:cs="Times New Roman"/>
      <w:sz w:val="20"/>
      <w:szCs w:val="20"/>
      <w:lang w:val="id"/>
    </w:rPr>
  </w:style>
  <w:style w:type="paragraph" w:customStyle="1" w:styleId="TableParagraph">
    <w:name w:val="Table Paragraph"/>
    <w:basedOn w:val="Normal"/>
    <w:uiPriority w:val="1"/>
    <w:qFormat/>
    <w:rsid w:val="00226D31"/>
    <w:pPr>
      <w:widowControl w:val="0"/>
      <w:autoSpaceDE w:val="0"/>
      <w:autoSpaceDN w:val="0"/>
      <w:jc w:val="center"/>
    </w:pPr>
    <w:rPr>
      <w:rFonts w:eastAsia="Times New Roman"/>
      <w:sz w:val="22"/>
      <w:szCs w:val="22"/>
      <w:lang w:val="id"/>
    </w:rPr>
  </w:style>
  <w:style w:type="character" w:customStyle="1" w:styleId="Heading1Char">
    <w:name w:val="Heading 1 Char"/>
    <w:basedOn w:val="DefaultParagraphFont"/>
    <w:link w:val="Heading1"/>
    <w:uiPriority w:val="9"/>
    <w:rsid w:val="00EC536B"/>
    <w:rPr>
      <w:rFonts w:eastAsiaTheme="majorEastAsia" w:cstheme="majorBidi"/>
      <w:b/>
      <w:sz w:val="28"/>
      <w:szCs w:val="32"/>
    </w:rPr>
  </w:style>
  <w:style w:type="character" w:customStyle="1" w:styleId="Heading2Char">
    <w:name w:val="Heading 2 Char"/>
    <w:basedOn w:val="DefaultParagraphFont"/>
    <w:link w:val="Heading2"/>
    <w:uiPriority w:val="9"/>
    <w:rsid w:val="00EC536B"/>
    <w:rPr>
      <w:rFonts w:eastAsiaTheme="majorEastAsia" w:cstheme="majorBidi"/>
      <w:b/>
      <w:szCs w:val="26"/>
    </w:rPr>
  </w:style>
  <w:style w:type="character" w:customStyle="1" w:styleId="Heading3Char">
    <w:name w:val="Heading 3 Char"/>
    <w:basedOn w:val="DefaultParagraphFont"/>
    <w:link w:val="Heading3"/>
    <w:uiPriority w:val="9"/>
    <w:rsid w:val="00EC536B"/>
    <w:rPr>
      <w:rFonts w:eastAsiaTheme="majorEastAsia" w:cstheme="majorBidi"/>
      <w:b/>
      <w:szCs w:val="24"/>
    </w:rPr>
  </w:style>
  <w:style w:type="character" w:customStyle="1" w:styleId="Heading4Char">
    <w:name w:val="Heading 4 Char"/>
    <w:basedOn w:val="DefaultParagraphFont"/>
    <w:link w:val="Heading4"/>
    <w:uiPriority w:val="9"/>
    <w:semiHidden/>
    <w:rsid w:val="00EC536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C536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C536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C536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C53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536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42842"/>
    <w:rPr>
      <w:sz w:val="16"/>
      <w:szCs w:val="16"/>
    </w:rPr>
  </w:style>
  <w:style w:type="paragraph" w:styleId="CommentText">
    <w:name w:val="annotation text"/>
    <w:basedOn w:val="Normal"/>
    <w:link w:val="CommentTextChar"/>
    <w:uiPriority w:val="99"/>
    <w:semiHidden/>
    <w:unhideWhenUsed/>
    <w:rsid w:val="00E42842"/>
  </w:style>
  <w:style w:type="character" w:customStyle="1" w:styleId="CommentTextChar">
    <w:name w:val="Comment Text Char"/>
    <w:basedOn w:val="DefaultParagraphFont"/>
    <w:link w:val="CommentText"/>
    <w:uiPriority w:val="99"/>
    <w:semiHidden/>
    <w:rsid w:val="00E42842"/>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E42842"/>
    <w:rPr>
      <w:b/>
      <w:bCs/>
    </w:rPr>
  </w:style>
  <w:style w:type="character" w:customStyle="1" w:styleId="CommentSubjectChar">
    <w:name w:val="Comment Subject Char"/>
    <w:basedOn w:val="CommentTextChar"/>
    <w:link w:val="CommentSubject"/>
    <w:uiPriority w:val="99"/>
    <w:semiHidden/>
    <w:rsid w:val="00E42842"/>
    <w:rPr>
      <w:rFonts w:eastAsia="MS Mincho" w:cs="Times New Roman"/>
      <w:b/>
      <w:bCs/>
      <w:sz w:val="20"/>
      <w:szCs w:val="20"/>
    </w:rPr>
  </w:style>
  <w:style w:type="paragraph" w:styleId="BalloonText">
    <w:name w:val="Balloon Text"/>
    <w:basedOn w:val="Normal"/>
    <w:link w:val="BalloonTextChar"/>
    <w:uiPriority w:val="99"/>
    <w:semiHidden/>
    <w:unhideWhenUsed/>
    <w:rsid w:val="00E42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842"/>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1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dx.co.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294/jp.v17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Ich13</b:Tag>
    <b:SourceType>JournalArticle</b:SourceType>
    <b:Guid>{4E307BA9-D9C8-4F17-A315-BD3CC3EE5470}</b:Guid>
    <b:Title>Sistem Pendukung Keputusan Pemilihan Penerima Beasiswa Mahasiswa Kurang Mampu Pada STMIK BUDIDARMA Medan Menerapkan Metode Profile Matching</b:Title>
    <b:Year>2013</b:Year>
    <b:Author>
      <b:Author>
        <b:NameList>
          <b:Person>
            <b:Last>Ichsan</b:Last>
          </b:Person>
        </b:NameList>
      </b:Author>
    </b:Author>
    <b:JournalName>Kursor</b:JournalName>
    <b:Pages>2</b:Pages>
    <b:Month>November</b:Month>
    <b:Volume>5</b:Volume>
    <b:Issue>1</b:Issue>
    <b:URL>http://pelita-informatika.com/berkas/jurnal/1.%20TM%20Syahru.pdf</b:URL>
    <b:YearAccessed>2016</b:YearAccessed>
    <b:MonthAccessed>April</b:MonthAccessed>
    <b:DayAccessed>14</b:DayAccessed>
    <b:RefOrder>1</b:RefOrder>
  </b:Source>
</b:Sources>
</file>

<file path=customXml/itemProps1.xml><?xml version="1.0" encoding="utf-8"?>
<ds:datastoreItem xmlns:ds="http://schemas.openxmlformats.org/officeDocument/2006/customXml" ds:itemID="{578B65B6-B85A-47DF-BE17-B55F3F40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5867</Words>
  <Characters>33444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PPPM</dc:creator>
  <cp:keywords/>
  <dc:description/>
  <cp:lastModifiedBy>User</cp:lastModifiedBy>
  <cp:revision>180</cp:revision>
  <dcterms:created xsi:type="dcterms:W3CDTF">2025-06-17T01:55:00Z</dcterms:created>
  <dcterms:modified xsi:type="dcterms:W3CDTF">2025-09-03T03:21:00Z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Unique User Id_1">
    <vt:lpwstr>0e523f8f-79f9-3740-ba78-66bc113b185a</vt:lpwstr>
  </property>
  <property fmtid="{D5CDD505-2E9C-101B-9397-08002B2CF9AE}" pid="24" name="Mendeley Citation Style_1">
    <vt:lpwstr>http://www.zotero.org/styles/apa</vt:lpwstr>
  </property>
</Properties>
</file>